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6118" w14:textId="0BB9E929" w:rsidR="004C6608" w:rsidRPr="00AB3676" w:rsidRDefault="00D804C2" w:rsidP="00C6202D">
      <w:pPr>
        <w:pStyle w:val="Title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AB3676">
        <w:rPr>
          <w:rFonts w:asciiTheme="minorHAnsi" w:hAnsiTheme="minorHAnsi"/>
        </w:rPr>
        <w:t xml:space="preserve">HO51 Sustaining Tenancies Policy           </w:t>
      </w:r>
      <w:r w:rsidR="00E36946" w:rsidRPr="00AB3676">
        <w:rPr>
          <w:rFonts w:asciiTheme="minorHAnsi" w:hAnsiTheme="minorHAnsi"/>
        </w:rPr>
        <w:t xml:space="preserve">                </w:t>
      </w:r>
    </w:p>
    <w:p w14:paraId="1635E3BF" w14:textId="0E27B940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Purpose</w:t>
      </w:r>
    </w:p>
    <w:p w14:paraId="2C6EC25F" w14:textId="77777777" w:rsidR="00AB3676" w:rsidRPr="00AB3676" w:rsidRDefault="00AB3676" w:rsidP="00AB3676">
      <w:pPr>
        <w:pStyle w:val="ListParagraph"/>
        <w:spacing w:after="180"/>
        <w:ind w:left="425"/>
        <w:contextualSpacing w:val="0"/>
        <w:rPr>
          <w:rFonts w:asciiTheme="minorHAnsi" w:hAnsiTheme="minorHAnsi" w:cs="Arial"/>
          <w:bCs/>
          <w:color w:val="000000"/>
          <w:sz w:val="24"/>
        </w:rPr>
      </w:pPr>
      <w:r w:rsidRPr="00AB3676">
        <w:rPr>
          <w:rFonts w:asciiTheme="minorHAnsi" w:hAnsiTheme="minorHAnsi" w:cs="Arial"/>
          <w:bCs/>
          <w:color w:val="000000"/>
          <w:sz w:val="24"/>
        </w:rPr>
        <w:t>The purpose of this policy is to provide clear guidance on how YWCA Australia and housing subsidiaries (YWCA) work to sustain all tenancies.</w:t>
      </w:r>
    </w:p>
    <w:p w14:paraId="302381E4" w14:textId="77777777" w:rsidR="00AB3676" w:rsidRPr="00AB3676" w:rsidRDefault="00AB3676" w:rsidP="00AB3676">
      <w:pPr>
        <w:pStyle w:val="ListParagraph"/>
        <w:spacing w:after="60"/>
        <w:ind w:left="425"/>
        <w:contextualSpacing w:val="0"/>
        <w:rPr>
          <w:rFonts w:asciiTheme="minorHAnsi" w:hAnsiTheme="minorHAnsi" w:cs="Arial"/>
          <w:bCs/>
          <w:color w:val="000000"/>
          <w:spacing w:val="-4"/>
          <w:sz w:val="24"/>
        </w:rPr>
      </w:pPr>
      <w:r w:rsidRPr="00AB3676">
        <w:rPr>
          <w:rFonts w:asciiTheme="minorHAnsi" w:hAnsiTheme="minorHAnsi" w:cs="Arial"/>
          <w:bCs/>
          <w:color w:val="000000"/>
          <w:spacing w:val="-4"/>
          <w:sz w:val="24"/>
        </w:rPr>
        <w:t>This policy enables YWCA’s housing subsidiaries to meet the following regulatory standards:</w:t>
      </w:r>
    </w:p>
    <w:p w14:paraId="5D3AD753" w14:textId="77777777" w:rsidR="00AB3676" w:rsidRPr="00AB3676" w:rsidRDefault="00AB3676" w:rsidP="00AB3676">
      <w:pPr>
        <w:pStyle w:val="ListParagraph"/>
        <w:numPr>
          <w:ilvl w:val="0"/>
          <w:numId w:val="41"/>
        </w:numPr>
        <w:spacing w:before="0" w:after="60"/>
        <w:ind w:left="850" w:hanging="425"/>
        <w:contextualSpacing w:val="0"/>
        <w:rPr>
          <w:rFonts w:asciiTheme="minorHAnsi" w:hAnsiTheme="minorHAnsi" w:cs="Arial"/>
          <w:bCs/>
          <w:i/>
          <w:color w:val="000000"/>
          <w:sz w:val="24"/>
        </w:rPr>
      </w:pPr>
      <w:r w:rsidRPr="00AB3676">
        <w:rPr>
          <w:rFonts w:asciiTheme="minorHAnsi" w:hAnsiTheme="minorHAnsi" w:cs="Arial"/>
          <w:bCs/>
          <w:i/>
          <w:color w:val="000000"/>
          <w:sz w:val="24"/>
        </w:rPr>
        <w:t xml:space="preserve">The registered agency has policies and procedures which strive to sustain tenancies. </w:t>
      </w:r>
    </w:p>
    <w:p w14:paraId="356380A4" w14:textId="66955D4E" w:rsidR="00AB3676" w:rsidRPr="00AB3676" w:rsidRDefault="00AB3676" w:rsidP="00AB3676">
      <w:pPr>
        <w:pStyle w:val="ListParagraph"/>
        <w:numPr>
          <w:ilvl w:val="0"/>
          <w:numId w:val="41"/>
        </w:numPr>
        <w:spacing w:before="0" w:after="60"/>
        <w:ind w:left="850" w:hanging="425"/>
        <w:contextualSpacing w:val="0"/>
        <w:rPr>
          <w:rFonts w:asciiTheme="minorHAnsi" w:hAnsiTheme="minorHAnsi" w:cs="Arial"/>
          <w:bCs/>
          <w:i/>
          <w:color w:val="000000"/>
          <w:sz w:val="24"/>
        </w:rPr>
      </w:pPr>
      <w:r w:rsidRPr="00AB3676">
        <w:rPr>
          <w:rFonts w:asciiTheme="minorHAnsi" w:hAnsiTheme="minorHAnsi" w:cs="Arial"/>
          <w:bCs/>
          <w:i/>
          <w:color w:val="000000"/>
          <w:sz w:val="24"/>
        </w:rPr>
        <w:t xml:space="preserve">The registered agency has policies and strategies to deal with </w:t>
      </w:r>
      <w:proofErr w:type="gramStart"/>
      <w:r w:rsidRPr="00AB3676">
        <w:rPr>
          <w:rFonts w:asciiTheme="minorHAnsi" w:hAnsiTheme="minorHAnsi" w:cs="Arial"/>
          <w:bCs/>
          <w:i/>
          <w:color w:val="000000"/>
          <w:sz w:val="24"/>
        </w:rPr>
        <w:t>renters</w:t>
      </w:r>
      <w:r w:rsidR="00811448">
        <w:rPr>
          <w:rFonts w:asciiTheme="minorHAnsi" w:hAnsiTheme="minorHAnsi" w:cs="Arial"/>
          <w:bCs/>
          <w:i/>
          <w:color w:val="000000"/>
          <w:sz w:val="24"/>
        </w:rPr>
        <w:t xml:space="preserve"> </w:t>
      </w:r>
      <w:r w:rsidR="007E5F96">
        <w:rPr>
          <w:rFonts w:asciiTheme="minorHAnsi" w:hAnsiTheme="minorHAnsi" w:cs="Arial"/>
          <w:bCs/>
          <w:i/>
          <w:color w:val="000000"/>
          <w:sz w:val="24"/>
        </w:rPr>
        <w:t xml:space="preserve"> </w:t>
      </w:r>
      <w:r w:rsidRPr="00AB3676">
        <w:rPr>
          <w:rFonts w:asciiTheme="minorHAnsi" w:hAnsiTheme="minorHAnsi" w:cs="Arial"/>
          <w:bCs/>
          <w:i/>
          <w:color w:val="000000"/>
          <w:sz w:val="24"/>
        </w:rPr>
        <w:t>in</w:t>
      </w:r>
      <w:proofErr w:type="gramEnd"/>
      <w:r w:rsidRPr="00AB3676">
        <w:rPr>
          <w:rFonts w:asciiTheme="minorHAnsi" w:hAnsiTheme="minorHAnsi" w:cs="Arial"/>
          <w:bCs/>
          <w:i/>
          <w:color w:val="000000"/>
          <w:sz w:val="24"/>
        </w:rPr>
        <w:t xml:space="preserve"> financial difficulties and with arrears of rent.</w:t>
      </w:r>
    </w:p>
    <w:p w14:paraId="454AE639" w14:textId="77777777" w:rsidR="00AB3676" w:rsidRPr="00AB3676" w:rsidRDefault="00AB3676" w:rsidP="00AB3676">
      <w:pPr>
        <w:pStyle w:val="ListParagraph"/>
        <w:numPr>
          <w:ilvl w:val="0"/>
          <w:numId w:val="41"/>
        </w:numPr>
        <w:spacing w:before="0" w:after="60"/>
        <w:ind w:left="850" w:hanging="425"/>
        <w:contextualSpacing w:val="0"/>
        <w:rPr>
          <w:rFonts w:asciiTheme="minorHAnsi" w:hAnsiTheme="minorHAnsi" w:cs="Arial"/>
          <w:bCs/>
          <w:i/>
          <w:color w:val="000000"/>
          <w:sz w:val="24"/>
        </w:rPr>
      </w:pPr>
      <w:r w:rsidRPr="00AB3676">
        <w:rPr>
          <w:rFonts w:asciiTheme="minorHAnsi" w:hAnsiTheme="minorHAnsi" w:cs="Arial"/>
          <w:bCs/>
          <w:i/>
          <w:color w:val="000000"/>
          <w:sz w:val="24"/>
        </w:rPr>
        <w:t xml:space="preserve">The registered agency establishes and maintains arrangements that are adequate to ensure </w:t>
      </w:r>
      <w:proofErr w:type="spellStart"/>
      <w:r w:rsidRPr="00AB3676">
        <w:rPr>
          <w:rFonts w:asciiTheme="minorHAnsi" w:hAnsiTheme="minorHAnsi" w:cs="Arial"/>
          <w:bCs/>
          <w:i/>
          <w:color w:val="000000"/>
          <w:sz w:val="24"/>
        </w:rPr>
        <w:t>rentersand</w:t>
      </w:r>
      <w:proofErr w:type="spellEnd"/>
      <w:r w:rsidRPr="00AB3676">
        <w:rPr>
          <w:rFonts w:asciiTheme="minorHAnsi" w:hAnsiTheme="minorHAnsi" w:cs="Arial"/>
          <w:bCs/>
          <w:i/>
          <w:color w:val="000000"/>
          <w:sz w:val="24"/>
        </w:rPr>
        <w:t xml:space="preserve"> residents with support needs receive appropriate support, if relevant and where available, to maintain their tenancies.</w:t>
      </w:r>
    </w:p>
    <w:p w14:paraId="656EFFF5" w14:textId="3440A1AB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Scope</w:t>
      </w:r>
    </w:p>
    <w:p w14:paraId="6E5E3F61" w14:textId="77777777" w:rsidR="00AB3676" w:rsidRPr="00AB3676" w:rsidRDefault="00AB3676" w:rsidP="00AB3676">
      <w:pPr>
        <w:pStyle w:val="ListParagraph"/>
        <w:spacing w:after="180"/>
        <w:ind w:left="425"/>
        <w:contextualSpacing w:val="0"/>
        <w:rPr>
          <w:rFonts w:asciiTheme="minorHAnsi" w:hAnsiTheme="minorHAnsi" w:cs="Arial"/>
          <w:color w:val="000000"/>
          <w:sz w:val="24"/>
          <w:szCs w:val="24"/>
        </w:rPr>
      </w:pPr>
      <w:r w:rsidRPr="00AB3676">
        <w:rPr>
          <w:rFonts w:asciiTheme="minorHAnsi" w:hAnsiTheme="minorHAnsi" w:cs="Arial"/>
          <w:color w:val="000000"/>
          <w:sz w:val="24"/>
          <w:szCs w:val="24"/>
        </w:rPr>
        <w:t>This policy applies to all YWCA staff, contractors and volunteers involved in tenancy management (Employees).</w:t>
      </w:r>
    </w:p>
    <w:p w14:paraId="30B2633A" w14:textId="77777777" w:rsidR="00AB3676" w:rsidRPr="00AB3676" w:rsidRDefault="00AB3676" w:rsidP="00AB3676">
      <w:pPr>
        <w:pStyle w:val="ListParagraph"/>
        <w:spacing w:after="180"/>
        <w:ind w:left="425"/>
        <w:contextualSpacing w:val="0"/>
        <w:rPr>
          <w:rFonts w:asciiTheme="minorHAnsi" w:hAnsiTheme="minorHAnsi" w:cs="Arial"/>
          <w:bCs/>
          <w:color w:val="000000"/>
          <w:sz w:val="24"/>
        </w:rPr>
      </w:pPr>
      <w:r w:rsidRPr="00AB3676">
        <w:rPr>
          <w:rFonts w:asciiTheme="minorHAnsi" w:hAnsiTheme="minorHAnsi" w:cs="Arial"/>
          <w:bCs/>
          <w:color w:val="000000"/>
          <w:sz w:val="24"/>
        </w:rPr>
        <w:t>The policy applies to both residential rental agreements and rooming house agreements. Unless stated otherwise, references to “renters” include rooming house residents and references to “tenancies” include rooming house residencies.</w:t>
      </w:r>
    </w:p>
    <w:p w14:paraId="46956CA1" w14:textId="286A4DB9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Definitions</w:t>
      </w:r>
    </w:p>
    <w:p w14:paraId="6D753E0B" w14:textId="77777777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>N/A</w:t>
      </w:r>
    </w:p>
    <w:p w14:paraId="45DA18DE" w14:textId="29AFDF1E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Policy Statement</w:t>
      </w:r>
    </w:p>
    <w:p w14:paraId="5AF8D3A4" w14:textId="77777777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 xml:space="preserve">YWCA is committed to sustaining tenancies. This commitment is based on the principle that </w:t>
      </w:r>
      <w:proofErr w:type="spellStart"/>
      <w:r w:rsidRPr="00AB3676">
        <w:rPr>
          <w:rFonts w:asciiTheme="minorHAnsi" w:hAnsiTheme="minorHAnsi"/>
          <w:color w:val="auto"/>
        </w:rPr>
        <w:t>rentershave</w:t>
      </w:r>
      <w:proofErr w:type="spellEnd"/>
      <w:r w:rsidRPr="00AB3676">
        <w:rPr>
          <w:rFonts w:asciiTheme="minorHAnsi" w:hAnsiTheme="minorHAnsi"/>
          <w:color w:val="auto"/>
        </w:rPr>
        <w:t xml:space="preserve"> access to the support needed to maintain and enjoy their tenancy. </w:t>
      </w:r>
    </w:p>
    <w:p w14:paraId="16DC1000" w14:textId="77777777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 xml:space="preserve">YWCA has up-to-date policies, </w:t>
      </w:r>
      <w:proofErr w:type="gramStart"/>
      <w:r w:rsidRPr="00AB3676">
        <w:rPr>
          <w:rFonts w:asciiTheme="minorHAnsi" w:hAnsiTheme="minorHAnsi"/>
          <w:color w:val="auto"/>
        </w:rPr>
        <w:t>procedures</w:t>
      </w:r>
      <w:proofErr w:type="gramEnd"/>
      <w:r w:rsidRPr="00AB3676">
        <w:rPr>
          <w:rFonts w:asciiTheme="minorHAnsi" w:hAnsiTheme="minorHAnsi"/>
          <w:color w:val="auto"/>
        </w:rPr>
        <w:t xml:space="preserve"> and systems, including good working relationships with a range of key government and community agencies, and formal partnerships or agreements with particular support services, to ensure </w:t>
      </w:r>
      <w:proofErr w:type="spellStart"/>
      <w:r w:rsidRPr="00AB3676">
        <w:rPr>
          <w:rFonts w:asciiTheme="minorHAnsi" w:hAnsiTheme="minorHAnsi"/>
          <w:color w:val="auto"/>
        </w:rPr>
        <w:t>rentershave</w:t>
      </w:r>
      <w:proofErr w:type="spellEnd"/>
      <w:r w:rsidRPr="00AB3676">
        <w:rPr>
          <w:rFonts w:asciiTheme="minorHAnsi" w:hAnsiTheme="minorHAnsi"/>
          <w:color w:val="auto"/>
        </w:rPr>
        <w:t xml:space="preserve"> access to relevant support. </w:t>
      </w:r>
    </w:p>
    <w:p w14:paraId="135E862D" w14:textId="77777777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 xml:space="preserve">Employees deal with many disadvantaged and vulnerable </w:t>
      </w:r>
      <w:proofErr w:type="spellStart"/>
      <w:r w:rsidRPr="00AB3676">
        <w:rPr>
          <w:rFonts w:asciiTheme="minorHAnsi" w:hAnsiTheme="minorHAnsi"/>
          <w:color w:val="auto"/>
        </w:rPr>
        <w:t>renterswho</w:t>
      </w:r>
      <w:proofErr w:type="spellEnd"/>
      <w:r w:rsidRPr="00AB3676">
        <w:rPr>
          <w:rFonts w:asciiTheme="minorHAnsi" w:hAnsiTheme="minorHAnsi"/>
          <w:color w:val="auto"/>
        </w:rPr>
        <w:t xml:space="preserve"> require support, and staff are proactive in identifying if a tenancy may be at risk due to unmet support needs. </w:t>
      </w:r>
    </w:p>
    <w:p w14:paraId="2C4E2C57" w14:textId="77777777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lastRenderedPageBreak/>
        <w:t xml:space="preserve">If an applicant to YWCA would need a high level of support to sustain their tenancy, a formal agreement with a support agency may be requested before allocation is approved. </w:t>
      </w:r>
    </w:p>
    <w:p w14:paraId="4E07BDBA" w14:textId="57A5EA7D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 xml:space="preserve">If agreed, YWCA refers the </w:t>
      </w:r>
      <w:r w:rsidR="007E5F96">
        <w:rPr>
          <w:rFonts w:asciiTheme="minorHAnsi" w:hAnsiTheme="minorHAnsi"/>
          <w:color w:val="auto"/>
        </w:rPr>
        <w:t>renter</w:t>
      </w:r>
      <w:r w:rsidRPr="00AB3676">
        <w:rPr>
          <w:rFonts w:asciiTheme="minorHAnsi" w:hAnsiTheme="minorHAnsi"/>
          <w:color w:val="auto"/>
        </w:rPr>
        <w:t xml:space="preserve"> to the appropriate support service(s) and, where necessary and practicable, supports the </w:t>
      </w:r>
      <w:r w:rsidR="007E5F96">
        <w:rPr>
          <w:rFonts w:asciiTheme="minorHAnsi" w:hAnsiTheme="minorHAnsi"/>
          <w:color w:val="auto"/>
        </w:rPr>
        <w:t>renter</w:t>
      </w:r>
      <w:r w:rsidRPr="00AB3676">
        <w:rPr>
          <w:rFonts w:asciiTheme="minorHAnsi" w:hAnsiTheme="minorHAnsi"/>
          <w:color w:val="auto"/>
        </w:rPr>
        <w:t xml:space="preserve"> to access any referrals provided. </w:t>
      </w:r>
    </w:p>
    <w:p w14:paraId="1A066449" w14:textId="50D552D9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Process Steps</w:t>
      </w:r>
    </w:p>
    <w:p w14:paraId="02420496" w14:textId="77777777" w:rsidR="00AB3676" w:rsidRPr="00AB3676" w:rsidRDefault="00AB3676" w:rsidP="00AB3676">
      <w:pPr>
        <w:pStyle w:val="ListParagraph"/>
        <w:keepNext/>
        <w:numPr>
          <w:ilvl w:val="0"/>
          <w:numId w:val="44"/>
        </w:numPr>
        <w:spacing w:before="240" w:after="60"/>
        <w:ind w:left="425" w:hanging="425"/>
        <w:contextualSpacing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B3676">
        <w:rPr>
          <w:rFonts w:asciiTheme="minorHAnsi" w:hAnsiTheme="minorHAnsi" w:cs="Arial"/>
          <w:b/>
          <w:bCs/>
          <w:color w:val="000000"/>
          <w:sz w:val="24"/>
          <w:szCs w:val="24"/>
        </w:rPr>
        <w:t>Arranging support</w:t>
      </w:r>
    </w:p>
    <w:p w14:paraId="39B6AD95" w14:textId="00855D46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If it becomes apparent during the tenancy that a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needs support – for example, </w:t>
      </w:r>
      <w:proofErr w:type="gramStart"/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in the course of</w:t>
      </w:r>
      <w:proofErr w:type="gramEnd"/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a property inspection, or in discussion about arrears, or following complaints –discuss a range of options with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and outline the support services available. </w:t>
      </w:r>
    </w:p>
    <w:p w14:paraId="302E04B9" w14:textId="77777777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Provide written documentation (if available) about each support service.</w:t>
      </w:r>
    </w:p>
    <w:p w14:paraId="707804A5" w14:textId="41A83095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If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indicates that they would like to access a support service, obtain written consent from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before making the referral. Add the written consent to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’s file.</w:t>
      </w:r>
    </w:p>
    <w:p w14:paraId="47572D2B" w14:textId="34EEE9C1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If needed, assist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with any referral form and/or making an appointment with the support service.</w:t>
      </w:r>
    </w:p>
    <w:p w14:paraId="766CB4F1" w14:textId="77777777" w:rsidR="00AB3676" w:rsidRPr="00AB3676" w:rsidRDefault="00AB3676" w:rsidP="00AB3676">
      <w:pPr>
        <w:pStyle w:val="ListParagraph"/>
        <w:keepNext/>
        <w:numPr>
          <w:ilvl w:val="0"/>
          <w:numId w:val="44"/>
        </w:numPr>
        <w:spacing w:before="240" w:after="60"/>
        <w:ind w:left="425" w:hanging="425"/>
        <w:contextualSpacing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B3676">
        <w:rPr>
          <w:rFonts w:asciiTheme="minorHAnsi" w:hAnsiTheme="minorHAnsi" w:cs="Arial"/>
          <w:b/>
          <w:bCs/>
          <w:color w:val="000000"/>
          <w:sz w:val="24"/>
          <w:szCs w:val="24"/>
        </w:rPr>
        <w:t>Modifications</w:t>
      </w:r>
    </w:p>
    <w:p w14:paraId="43667816" w14:textId="2E43BD16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In the case of frail aged renters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 xml:space="preserve"> 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or renters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 xml:space="preserve"> 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that require modifications to their property due to </w:t>
      </w:r>
      <w:proofErr w:type="gramStart"/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a  medical</w:t>
      </w:r>
      <w:proofErr w:type="gramEnd"/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condition or disability, discuss the range of modifications and options with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and outline the support services available. </w:t>
      </w:r>
    </w:p>
    <w:p w14:paraId="4D19CB9E" w14:textId="77777777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Provide written documentation (if available) about each support service as well as the process involved in obtaining modifications to their property. </w:t>
      </w:r>
    </w:p>
    <w:p w14:paraId="71A54E41" w14:textId="77777777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Arrange referrals as per Step 1.</w:t>
      </w:r>
    </w:p>
    <w:p w14:paraId="6DB7F5FE" w14:textId="77777777" w:rsidR="00AB3676" w:rsidRPr="00AB3676" w:rsidRDefault="00AB3676" w:rsidP="00AB3676">
      <w:pPr>
        <w:pStyle w:val="ListParagraph"/>
        <w:keepNext/>
        <w:numPr>
          <w:ilvl w:val="0"/>
          <w:numId w:val="44"/>
        </w:numPr>
        <w:spacing w:before="240" w:after="60"/>
        <w:ind w:left="425" w:hanging="425"/>
        <w:contextualSpacing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B3676">
        <w:rPr>
          <w:rFonts w:asciiTheme="minorHAnsi" w:hAnsiTheme="minorHAnsi" w:cs="Arial"/>
          <w:b/>
          <w:bCs/>
          <w:color w:val="000000"/>
          <w:sz w:val="24"/>
          <w:szCs w:val="24"/>
        </w:rPr>
        <w:t>Hardship</w:t>
      </w:r>
    </w:p>
    <w:p w14:paraId="4564FE25" w14:textId="276D946F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color w:val="000000"/>
          <w:sz w:val="24"/>
          <w:szCs w:val="24"/>
        </w:rPr>
      </w:pPr>
      <w:r w:rsidRPr="00AB3676">
        <w:rPr>
          <w:rFonts w:asciiTheme="minorHAnsi" w:hAnsiTheme="minorHAnsi" w:cs="Arial"/>
          <w:color w:val="000000"/>
          <w:sz w:val="24"/>
          <w:szCs w:val="24"/>
        </w:rPr>
        <w:t xml:space="preserve">In circumstances where a </w:t>
      </w:r>
      <w:r w:rsidR="007E5F96">
        <w:rPr>
          <w:rFonts w:asciiTheme="minorHAnsi" w:hAnsiTheme="minorHAnsi" w:cs="Arial"/>
          <w:color w:val="000000"/>
          <w:sz w:val="24"/>
          <w:szCs w:val="24"/>
        </w:rPr>
        <w:t>renter</w:t>
      </w:r>
      <w:r w:rsidRPr="00AB3676">
        <w:rPr>
          <w:rFonts w:asciiTheme="minorHAnsi" w:hAnsiTheme="minorHAnsi" w:cs="Arial"/>
          <w:color w:val="000000"/>
          <w:sz w:val="24"/>
          <w:szCs w:val="24"/>
        </w:rPr>
        <w:t xml:space="preserve"> is experiencing financial hardship, see YWCA’s </w:t>
      </w:r>
      <w:r w:rsidRPr="00AB3676">
        <w:rPr>
          <w:rFonts w:asciiTheme="minorHAnsi" w:hAnsiTheme="minorHAnsi" w:cs="Arial"/>
          <w:b/>
          <w:bCs/>
          <w:color w:val="000000"/>
          <w:sz w:val="24"/>
          <w:szCs w:val="24"/>
        </w:rPr>
        <w:t>Hardship Policy</w:t>
      </w:r>
      <w:r w:rsidRPr="00AB367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E76A86F" w14:textId="77777777" w:rsidR="00AB3676" w:rsidRPr="00AB3676" w:rsidRDefault="00AB3676" w:rsidP="00AB3676">
      <w:pPr>
        <w:pStyle w:val="ListParagraph"/>
        <w:keepNext/>
        <w:numPr>
          <w:ilvl w:val="0"/>
          <w:numId w:val="44"/>
        </w:numPr>
        <w:spacing w:before="240" w:after="60"/>
        <w:ind w:left="425" w:hanging="425"/>
        <w:contextualSpacing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B3676">
        <w:rPr>
          <w:rFonts w:asciiTheme="minorHAnsi" w:hAnsiTheme="minorHAnsi" w:cs="Arial"/>
          <w:b/>
          <w:bCs/>
          <w:color w:val="000000"/>
          <w:sz w:val="24"/>
          <w:szCs w:val="24"/>
        </w:rPr>
        <w:t>Changing needs</w:t>
      </w:r>
    </w:p>
    <w:p w14:paraId="39287FBE" w14:textId="190EC482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If a </w:t>
      </w:r>
      <w:proofErr w:type="gramStart"/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renters</w:t>
      </w:r>
      <w:proofErr w:type="gramEnd"/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 xml:space="preserve"> needs have changed to the extent that the sustainability of their tenancy is at risk, discuss the options available to the </w:t>
      </w:r>
      <w:r w:rsidR="007E5F96">
        <w:rPr>
          <w:rFonts w:asciiTheme="minorHAnsi" w:hAnsiTheme="minorHAnsi" w:cs="Arial"/>
          <w:bCs/>
          <w:color w:val="000000"/>
          <w:sz w:val="24"/>
          <w:szCs w:val="23"/>
        </w:rPr>
        <w:t>renter</w:t>
      </w: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. This may include consideration of other housing options, including internal transfer to another YWCA property.</w:t>
      </w:r>
    </w:p>
    <w:p w14:paraId="61B9788F" w14:textId="77777777" w:rsidR="00AB3676" w:rsidRPr="00AB3676" w:rsidRDefault="00AB3676" w:rsidP="00AB3676">
      <w:pPr>
        <w:pStyle w:val="ListParagraph"/>
        <w:numPr>
          <w:ilvl w:val="1"/>
          <w:numId w:val="44"/>
        </w:numPr>
        <w:spacing w:before="0" w:after="180"/>
        <w:ind w:left="992" w:hanging="567"/>
        <w:contextualSpacing w:val="0"/>
        <w:rPr>
          <w:rFonts w:asciiTheme="minorHAnsi" w:hAnsiTheme="minorHAnsi" w:cs="Arial"/>
          <w:bCs/>
          <w:color w:val="000000"/>
          <w:sz w:val="24"/>
          <w:szCs w:val="23"/>
        </w:rPr>
      </w:pPr>
      <w:r w:rsidRPr="00AB3676">
        <w:rPr>
          <w:rFonts w:asciiTheme="minorHAnsi" w:hAnsiTheme="minorHAnsi" w:cs="Arial"/>
          <w:bCs/>
          <w:color w:val="000000"/>
          <w:sz w:val="24"/>
          <w:szCs w:val="23"/>
        </w:rPr>
        <w:t>If needed, arrange referral to support services as per Step 1.</w:t>
      </w:r>
    </w:p>
    <w:p w14:paraId="2352EC4E" w14:textId="56C274AF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lastRenderedPageBreak/>
        <w:t>Responsibilities</w:t>
      </w:r>
    </w:p>
    <w:p w14:paraId="3F402475" w14:textId="77777777" w:rsidR="00AB3676" w:rsidRPr="00AB3676" w:rsidRDefault="00AB3676" w:rsidP="00AB3676">
      <w:pPr>
        <w:pStyle w:val="PP1cText"/>
        <w:spacing w:after="6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>YWCA’s National Housing Operations Manager has responsibility for ensuring that:</w:t>
      </w:r>
    </w:p>
    <w:p w14:paraId="1AC37838" w14:textId="77777777" w:rsidR="00AB3676" w:rsidRPr="00AB3676" w:rsidRDefault="00AB3676" w:rsidP="00AB3676">
      <w:pPr>
        <w:pStyle w:val="ListParagraph"/>
        <w:numPr>
          <w:ilvl w:val="0"/>
          <w:numId w:val="41"/>
        </w:numPr>
        <w:spacing w:before="0" w:after="60"/>
        <w:ind w:left="850" w:hanging="425"/>
        <w:contextualSpacing w:val="0"/>
        <w:rPr>
          <w:rFonts w:asciiTheme="minorHAnsi" w:hAnsiTheme="minorHAnsi" w:cs="Arial"/>
          <w:bCs/>
          <w:color w:val="000000"/>
          <w:sz w:val="24"/>
        </w:rPr>
      </w:pPr>
      <w:r w:rsidRPr="00AB3676">
        <w:rPr>
          <w:rFonts w:asciiTheme="minorHAnsi" w:hAnsiTheme="minorHAnsi" w:cs="Arial"/>
          <w:bCs/>
          <w:color w:val="000000"/>
          <w:sz w:val="24"/>
        </w:rPr>
        <w:t xml:space="preserve">this policy is </w:t>
      </w:r>
      <w:proofErr w:type="gramStart"/>
      <w:r w:rsidRPr="00AB3676">
        <w:rPr>
          <w:rFonts w:asciiTheme="minorHAnsi" w:hAnsiTheme="minorHAnsi" w:cs="Arial"/>
          <w:bCs/>
          <w:color w:val="000000"/>
          <w:sz w:val="24"/>
        </w:rPr>
        <w:t>implemented</w:t>
      </w:r>
      <w:proofErr w:type="gramEnd"/>
      <w:r w:rsidRPr="00AB3676">
        <w:rPr>
          <w:rFonts w:asciiTheme="minorHAnsi" w:hAnsiTheme="minorHAnsi" w:cs="Arial"/>
          <w:bCs/>
          <w:color w:val="000000"/>
          <w:sz w:val="24"/>
        </w:rPr>
        <w:t xml:space="preserve"> and its application monitored, </w:t>
      </w:r>
    </w:p>
    <w:p w14:paraId="57E7BC68" w14:textId="77777777" w:rsidR="00AB3676" w:rsidRPr="00AB3676" w:rsidRDefault="00AB3676" w:rsidP="00AB3676">
      <w:pPr>
        <w:pStyle w:val="ListParagraph"/>
        <w:numPr>
          <w:ilvl w:val="0"/>
          <w:numId w:val="41"/>
        </w:numPr>
        <w:spacing w:before="0" w:after="60"/>
        <w:ind w:left="850" w:hanging="425"/>
        <w:contextualSpacing w:val="0"/>
        <w:rPr>
          <w:rFonts w:asciiTheme="minorHAnsi" w:hAnsiTheme="minorHAnsi" w:cs="Arial"/>
          <w:bCs/>
          <w:color w:val="000000"/>
          <w:sz w:val="24"/>
        </w:rPr>
      </w:pPr>
      <w:r w:rsidRPr="00AB3676">
        <w:rPr>
          <w:rFonts w:asciiTheme="minorHAnsi" w:hAnsiTheme="minorHAnsi" w:cs="Arial"/>
          <w:bCs/>
          <w:color w:val="000000"/>
          <w:sz w:val="24"/>
        </w:rPr>
        <w:t>the policy continues to comply with relevant legislation, and</w:t>
      </w:r>
    </w:p>
    <w:p w14:paraId="7033C73B" w14:textId="77777777" w:rsidR="00AB3676" w:rsidRPr="00AB3676" w:rsidRDefault="00AB3676" w:rsidP="00AB3676">
      <w:pPr>
        <w:pStyle w:val="ListParagraph"/>
        <w:numPr>
          <w:ilvl w:val="0"/>
          <w:numId w:val="41"/>
        </w:numPr>
        <w:spacing w:before="0" w:after="180"/>
        <w:ind w:left="850" w:hanging="425"/>
        <w:contextualSpacing w:val="0"/>
        <w:rPr>
          <w:rFonts w:asciiTheme="minorHAnsi" w:hAnsiTheme="minorHAnsi" w:cs="Arial"/>
          <w:bCs/>
          <w:color w:val="000000"/>
          <w:sz w:val="24"/>
        </w:rPr>
      </w:pPr>
      <w:r w:rsidRPr="00AB3676">
        <w:rPr>
          <w:rFonts w:asciiTheme="minorHAnsi" w:hAnsiTheme="minorHAnsi" w:cs="Arial"/>
          <w:bCs/>
          <w:color w:val="000000"/>
          <w:sz w:val="24"/>
        </w:rPr>
        <w:t>this policy is reviewed to evaluate its ongoing effectiveness.</w:t>
      </w:r>
    </w:p>
    <w:p w14:paraId="0D6F2064" w14:textId="0343E078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Appendices</w:t>
      </w:r>
    </w:p>
    <w:p w14:paraId="7B3A5CD7" w14:textId="77777777" w:rsidR="00AB3676" w:rsidRPr="00AB3676" w:rsidRDefault="00AB3676" w:rsidP="00AB3676">
      <w:pPr>
        <w:pStyle w:val="PP1cText"/>
        <w:spacing w:after="180" w:line="264" w:lineRule="auto"/>
        <w:rPr>
          <w:rFonts w:asciiTheme="minorHAnsi" w:hAnsiTheme="minorHAnsi"/>
          <w:color w:val="auto"/>
        </w:rPr>
      </w:pPr>
      <w:r w:rsidRPr="00AB3676">
        <w:rPr>
          <w:rFonts w:asciiTheme="minorHAnsi" w:hAnsiTheme="minorHAnsi"/>
          <w:color w:val="auto"/>
        </w:rPr>
        <w:t>N/A</w:t>
      </w:r>
    </w:p>
    <w:p w14:paraId="09088D02" w14:textId="1DDD9A88" w:rsidR="00AB3676" w:rsidRPr="00AB3676" w:rsidRDefault="00AB3676" w:rsidP="00AB3676">
      <w:pPr>
        <w:pStyle w:val="ListParagraph"/>
        <w:keepNext/>
        <w:numPr>
          <w:ilvl w:val="0"/>
          <w:numId w:val="45"/>
        </w:numPr>
        <w:spacing w:before="480" w:after="60"/>
        <w:contextualSpacing w:val="0"/>
        <w:outlineLvl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B3676">
        <w:rPr>
          <w:rFonts w:asciiTheme="minorHAnsi" w:hAnsiTheme="minorHAnsi" w:cs="Arial"/>
          <w:b/>
          <w:bCs/>
          <w:color w:val="000000"/>
          <w:sz w:val="28"/>
          <w:szCs w:val="28"/>
        </w:rPr>
        <w:t>Related Information</w:t>
      </w:r>
    </w:p>
    <w:p w14:paraId="28164498" w14:textId="77777777" w:rsidR="00AB3676" w:rsidRPr="00AB3676" w:rsidRDefault="00AB3676" w:rsidP="00AB3676">
      <w:pPr>
        <w:ind w:left="2126" w:hanging="1701"/>
        <w:rPr>
          <w:rFonts w:asciiTheme="minorHAnsi" w:hAnsiTheme="minorHAnsi" w:cs="Arial"/>
          <w:sz w:val="24"/>
          <w:szCs w:val="23"/>
        </w:rPr>
      </w:pPr>
      <w:r w:rsidRPr="00AB3676">
        <w:rPr>
          <w:rFonts w:asciiTheme="minorHAnsi" w:hAnsiTheme="minorHAnsi" w:cs="Arial"/>
          <w:sz w:val="24"/>
          <w:szCs w:val="23"/>
        </w:rPr>
        <w:t>YWCA</w:t>
      </w:r>
      <w:r w:rsidRPr="00AB3676">
        <w:rPr>
          <w:rFonts w:asciiTheme="minorHAnsi" w:hAnsiTheme="minorHAnsi" w:cs="Arial"/>
          <w:sz w:val="24"/>
          <w:szCs w:val="23"/>
        </w:rPr>
        <w:tab/>
      </w:r>
      <w:r w:rsidRPr="00AB3676">
        <w:rPr>
          <w:rFonts w:asciiTheme="minorHAnsi" w:hAnsiTheme="minorHAnsi" w:cs="Arial"/>
          <w:sz w:val="24"/>
          <w:szCs w:val="23"/>
          <w:highlight w:val="yellow"/>
        </w:rPr>
        <w:t>Hardship Policy</w:t>
      </w:r>
    </w:p>
    <w:p w14:paraId="79523DE7" w14:textId="77777777" w:rsidR="00AB3676" w:rsidRPr="00AB3676" w:rsidRDefault="00AB3676" w:rsidP="00AB3676">
      <w:pPr>
        <w:ind w:left="2126" w:hanging="1701"/>
        <w:rPr>
          <w:rFonts w:asciiTheme="minorHAnsi" w:hAnsiTheme="minorHAnsi" w:cs="Arial"/>
          <w:sz w:val="24"/>
          <w:szCs w:val="23"/>
        </w:rPr>
      </w:pPr>
      <w:r w:rsidRPr="00AB3676">
        <w:rPr>
          <w:rFonts w:asciiTheme="minorHAnsi" w:hAnsiTheme="minorHAnsi" w:cs="Arial"/>
          <w:sz w:val="24"/>
          <w:szCs w:val="23"/>
        </w:rPr>
        <w:t>YWCA</w:t>
      </w:r>
      <w:r w:rsidRPr="00AB3676">
        <w:rPr>
          <w:rFonts w:asciiTheme="minorHAnsi" w:hAnsiTheme="minorHAnsi" w:cs="Arial"/>
          <w:sz w:val="24"/>
          <w:szCs w:val="23"/>
        </w:rPr>
        <w:tab/>
        <w:t xml:space="preserve">Antisocial </w:t>
      </w:r>
      <w:proofErr w:type="spellStart"/>
      <w:r w:rsidRPr="00AB3676">
        <w:rPr>
          <w:rFonts w:asciiTheme="minorHAnsi" w:hAnsiTheme="minorHAnsi" w:cs="Arial"/>
          <w:sz w:val="24"/>
          <w:szCs w:val="23"/>
        </w:rPr>
        <w:t>Behaviour</w:t>
      </w:r>
      <w:proofErr w:type="spellEnd"/>
      <w:r w:rsidRPr="00AB3676">
        <w:rPr>
          <w:rFonts w:asciiTheme="minorHAnsi" w:hAnsiTheme="minorHAnsi" w:cs="Arial"/>
          <w:sz w:val="24"/>
          <w:szCs w:val="23"/>
        </w:rPr>
        <w:t xml:space="preserve"> Policy</w:t>
      </w:r>
    </w:p>
    <w:p w14:paraId="631DBA15" w14:textId="77777777" w:rsidR="00AB3676" w:rsidRPr="00AB3676" w:rsidRDefault="00AB3676" w:rsidP="00AB3676">
      <w:pPr>
        <w:ind w:left="2126" w:hanging="1701"/>
        <w:rPr>
          <w:rFonts w:asciiTheme="minorHAnsi" w:hAnsiTheme="minorHAnsi" w:cs="Arial"/>
          <w:sz w:val="24"/>
          <w:szCs w:val="23"/>
        </w:rPr>
      </w:pPr>
      <w:r w:rsidRPr="00AB3676">
        <w:rPr>
          <w:rFonts w:asciiTheme="minorHAnsi" w:hAnsiTheme="minorHAnsi" w:cs="Arial"/>
          <w:sz w:val="24"/>
          <w:szCs w:val="23"/>
        </w:rPr>
        <w:t>Legislation</w:t>
      </w:r>
      <w:r w:rsidRPr="00AB3676">
        <w:rPr>
          <w:rFonts w:asciiTheme="minorHAnsi" w:hAnsiTheme="minorHAnsi" w:cs="Arial"/>
          <w:sz w:val="24"/>
          <w:szCs w:val="23"/>
        </w:rPr>
        <w:tab/>
      </w:r>
      <w:hyperlink r:id="rId10" w:history="1">
        <w:r w:rsidRPr="00AB3676">
          <w:rPr>
            <w:rStyle w:val="Hyperlink"/>
            <w:rFonts w:asciiTheme="minorHAnsi" w:hAnsiTheme="minorHAnsi" w:cs="Arial"/>
            <w:szCs w:val="23"/>
          </w:rPr>
          <w:t>Residential Tenancies Act 1997 (Vic)</w:t>
        </w:r>
      </w:hyperlink>
    </w:p>
    <w:p w14:paraId="06789884" w14:textId="77777777" w:rsidR="00AB3676" w:rsidRPr="00AB3676" w:rsidRDefault="00AB3676" w:rsidP="00AB3676">
      <w:pPr>
        <w:ind w:left="2126" w:hanging="1701"/>
        <w:rPr>
          <w:rFonts w:asciiTheme="minorHAnsi" w:hAnsiTheme="minorHAnsi"/>
        </w:rPr>
      </w:pPr>
      <w:r w:rsidRPr="00AB3676">
        <w:rPr>
          <w:rFonts w:asciiTheme="minorHAnsi" w:hAnsiTheme="minorHAnsi" w:cs="Arial"/>
          <w:sz w:val="24"/>
          <w:szCs w:val="23"/>
        </w:rPr>
        <w:t>Standards</w:t>
      </w:r>
      <w:r w:rsidRPr="00AB3676">
        <w:rPr>
          <w:rFonts w:asciiTheme="minorHAnsi" w:hAnsiTheme="minorHAnsi" w:cs="Arial"/>
          <w:sz w:val="24"/>
          <w:szCs w:val="23"/>
        </w:rPr>
        <w:tab/>
      </w:r>
      <w:hyperlink r:id="rId11" w:history="1">
        <w:r w:rsidRPr="00AB3676">
          <w:rPr>
            <w:rStyle w:val="Hyperlink"/>
            <w:rFonts w:asciiTheme="minorHAnsi" w:hAnsiTheme="minorHAnsi" w:cs="Arial"/>
            <w:szCs w:val="23"/>
            <w:lang w:eastAsia="en-AU"/>
          </w:rPr>
          <w:t>Housing Registrar (Vic): Performance Standards</w:t>
        </w:r>
      </w:hyperlink>
    </w:p>
    <w:p w14:paraId="6EFD5E70" w14:textId="232BB406" w:rsidR="00E36946" w:rsidRPr="00AB3676" w:rsidRDefault="00AB3676" w:rsidP="00AB3676">
      <w:pPr>
        <w:ind w:left="2126" w:hanging="1701"/>
        <w:rPr>
          <w:rFonts w:asciiTheme="minorHAnsi" w:hAnsiTheme="minorHAnsi" w:cs="Arial"/>
          <w:sz w:val="24"/>
          <w:szCs w:val="23"/>
        </w:rPr>
      </w:pPr>
      <w:r w:rsidRPr="00AB3676">
        <w:rPr>
          <w:rFonts w:asciiTheme="minorHAnsi" w:hAnsiTheme="minorHAnsi" w:cs="Arial"/>
          <w:sz w:val="24"/>
          <w:szCs w:val="23"/>
        </w:rPr>
        <w:t>Standards</w:t>
      </w:r>
      <w:r w:rsidRPr="00AB3676">
        <w:rPr>
          <w:rFonts w:asciiTheme="minorHAnsi" w:hAnsiTheme="minorHAnsi" w:cs="Arial"/>
          <w:sz w:val="24"/>
          <w:szCs w:val="23"/>
        </w:rPr>
        <w:tab/>
      </w:r>
      <w:hyperlink r:id="rId12" w:history="1">
        <w:r w:rsidRPr="00AB3676">
          <w:rPr>
            <w:rStyle w:val="Hyperlink"/>
            <w:rFonts w:asciiTheme="minorHAnsi" w:hAnsiTheme="minorHAnsi" w:cs="Arial"/>
            <w:szCs w:val="23"/>
          </w:rPr>
          <w:t>NRSCH: Evidence Guidelines</w:t>
        </w:r>
      </w:hyperlink>
    </w:p>
    <w:p w14:paraId="516173D5" w14:textId="3F1FD927" w:rsidR="004F6BD0" w:rsidRPr="00053D19" w:rsidRDefault="004F6BD0" w:rsidP="004F6BD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27"/>
      </w:tblGrid>
      <w:tr w:rsidR="00871F5D" w:rsidRPr="00053D19" w14:paraId="6E5F74BE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1B9997C1" w14:textId="77777777" w:rsidR="00871F5D" w:rsidRPr="00053D19" w:rsidRDefault="00871F5D" w:rsidP="00D54CA1">
            <w:pPr>
              <w:pStyle w:val="Heading2"/>
              <w:spacing w:before="80"/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Document Control Data</w:t>
            </w:r>
          </w:p>
        </w:tc>
      </w:tr>
      <w:tr w:rsidR="00871F5D" w:rsidRPr="00053D19" w14:paraId="4C8204F6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5F0E8E9D" w14:textId="77777777" w:rsidR="00871F5D" w:rsidRPr="00053D19" w:rsidRDefault="00871F5D" w:rsidP="00D54CA1">
            <w:pPr>
              <w:pStyle w:val="Heading2"/>
              <w:spacing w:before="80"/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Policy Framework</w:t>
            </w:r>
          </w:p>
        </w:tc>
      </w:tr>
      <w:tr w:rsidR="004B67EB" w:rsidRPr="00053D19" w14:paraId="4440F418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330528BC" w14:textId="77777777" w:rsidR="004B67EB" w:rsidRPr="00053D19" w:rsidRDefault="004B67EB" w:rsidP="004B67EB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Responsible Body</w:t>
            </w:r>
          </w:p>
        </w:tc>
        <w:tc>
          <w:tcPr>
            <w:tcW w:w="7227" w:type="dxa"/>
            <w:shd w:val="clear" w:color="auto" w:fill="auto"/>
          </w:tcPr>
          <w:p w14:paraId="67F88631" w14:textId="70AB2B1C" w:rsidR="004B67EB" w:rsidRPr="00053D19" w:rsidRDefault="00B3337B" w:rsidP="004B67EB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 xml:space="preserve">Director, National Housing </w:t>
            </w:r>
          </w:p>
        </w:tc>
      </w:tr>
      <w:tr w:rsidR="004B67EB" w:rsidRPr="00053D19" w14:paraId="62B74128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0AE124F3" w14:textId="77777777" w:rsidR="004B67EB" w:rsidRPr="00053D19" w:rsidRDefault="004B67EB" w:rsidP="004B67EB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Accountable Officer</w:t>
            </w:r>
          </w:p>
        </w:tc>
        <w:tc>
          <w:tcPr>
            <w:tcW w:w="7227" w:type="dxa"/>
            <w:shd w:val="clear" w:color="auto" w:fill="auto"/>
          </w:tcPr>
          <w:p w14:paraId="7A5324CA" w14:textId="6D3C0591" w:rsidR="004B67EB" w:rsidRPr="00053D19" w:rsidRDefault="00B3337B" w:rsidP="004B67EB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 xml:space="preserve">National Housing Operations Manager </w:t>
            </w:r>
          </w:p>
        </w:tc>
      </w:tr>
      <w:tr w:rsidR="00392C0C" w:rsidRPr="00053D19" w14:paraId="1B797352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B4B8B67" w14:textId="4B833452" w:rsidR="00392C0C" w:rsidRPr="00053D19" w:rsidRDefault="00383CB2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Transparency and Accessibility</w:t>
            </w:r>
          </w:p>
        </w:tc>
        <w:tc>
          <w:tcPr>
            <w:tcW w:w="7227" w:type="dxa"/>
            <w:shd w:val="clear" w:color="auto" w:fill="auto"/>
          </w:tcPr>
          <w:p w14:paraId="0C2FA92A" w14:textId="13D5848A" w:rsidR="00392C0C" w:rsidRPr="00053D19" w:rsidRDefault="004F6BD0" w:rsidP="002D6EF8">
            <w:pPr>
              <w:rPr>
                <w:rFonts w:asciiTheme="minorHAnsi" w:hAnsiTheme="minorHAnsi" w:cstheme="minorHAnsi"/>
                <w:lang w:val="en-AU"/>
              </w:rPr>
            </w:pPr>
            <w:r w:rsidRPr="00053D19">
              <w:rPr>
                <w:rFonts w:asciiTheme="minorHAnsi" w:hAnsiTheme="minorHAnsi" w:cstheme="minorHAnsi"/>
                <w:lang w:val="en-AU"/>
              </w:rPr>
              <w:t xml:space="preserve">This policy will be available on the website </w:t>
            </w:r>
            <w:r w:rsidRPr="00053D19">
              <w:rPr>
                <w:rFonts w:asciiTheme="minorHAnsi" w:hAnsiTheme="minorHAnsi" w:cstheme="minorHAnsi"/>
                <w:i/>
                <w:lang w:val="en-AU"/>
              </w:rPr>
              <w:t>https://www.ywcahousing.org.au/policies/</w:t>
            </w:r>
          </w:p>
        </w:tc>
      </w:tr>
      <w:tr w:rsidR="00392C0C" w:rsidRPr="00053D19" w14:paraId="676C3872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1D49DA12" w14:textId="77777777" w:rsidR="00392C0C" w:rsidRPr="00053D19" w:rsidRDefault="00392C0C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Supersedes</w:t>
            </w:r>
          </w:p>
        </w:tc>
        <w:tc>
          <w:tcPr>
            <w:tcW w:w="7227" w:type="dxa"/>
            <w:shd w:val="clear" w:color="auto" w:fill="auto"/>
          </w:tcPr>
          <w:p w14:paraId="353FB0BE" w14:textId="3DB7F246" w:rsidR="00392C0C" w:rsidRPr="00053D19" w:rsidRDefault="00B3337B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 xml:space="preserve">N/A New policy </w:t>
            </w:r>
          </w:p>
        </w:tc>
      </w:tr>
      <w:tr w:rsidR="00B3337B" w:rsidRPr="00053D19" w14:paraId="1D3EA5BC" w14:textId="77777777" w:rsidTr="00AD27EC">
        <w:trPr>
          <w:trHeight w:val="455"/>
        </w:trPr>
        <w:tc>
          <w:tcPr>
            <w:tcW w:w="2830" w:type="dxa"/>
            <w:shd w:val="clear" w:color="auto" w:fill="auto"/>
          </w:tcPr>
          <w:p w14:paraId="3DBE5BEF" w14:textId="1AAC5F01" w:rsidR="00B3337B" w:rsidRPr="00053D19" w:rsidRDefault="00B3337B" w:rsidP="00B3337B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4AD9B697" w14:textId="15A4F911" w:rsidR="00B3337B" w:rsidRPr="00053D19" w:rsidRDefault="00B3337B" w:rsidP="00B3337B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/>
              </w:rPr>
              <w:t>YWCA Employees involved in tenancy management</w:t>
            </w:r>
            <w:r w:rsidR="00E36946" w:rsidRPr="00053D19">
              <w:rPr>
                <w:rFonts w:asciiTheme="minorHAnsi" w:hAnsiTheme="minorHAnsi"/>
              </w:rPr>
              <w:t xml:space="preserve">  </w:t>
            </w:r>
          </w:p>
        </w:tc>
      </w:tr>
    </w:tbl>
    <w:p w14:paraId="5070F839" w14:textId="77777777" w:rsidR="00871F5D" w:rsidRPr="00053D19" w:rsidRDefault="00871F5D" w:rsidP="00871F5D">
      <w:pPr>
        <w:pStyle w:val="BodyText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09"/>
        <w:gridCol w:w="2409"/>
        <w:gridCol w:w="2409"/>
      </w:tblGrid>
      <w:tr w:rsidR="00392C0C" w:rsidRPr="00053D19" w14:paraId="37952C81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18EF8384" w14:textId="77777777" w:rsidR="00392C0C" w:rsidRPr="00053D19" w:rsidRDefault="00392C0C" w:rsidP="00D54CA1">
            <w:pPr>
              <w:pStyle w:val="Heading2"/>
              <w:spacing w:before="80"/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Approval and Amendment History</w:t>
            </w:r>
          </w:p>
        </w:tc>
      </w:tr>
      <w:tr w:rsidR="00392C0C" w:rsidRPr="00053D19" w14:paraId="56452D31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70D92AA0" w14:textId="77777777" w:rsidR="00392C0C" w:rsidRPr="00053D19" w:rsidRDefault="00392C0C" w:rsidP="00D54CA1">
            <w:pPr>
              <w:pStyle w:val="Heading2"/>
              <w:spacing w:before="80"/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Review period – 2 years</w:t>
            </w:r>
          </w:p>
        </w:tc>
      </w:tr>
      <w:tr w:rsidR="00392C0C" w:rsidRPr="00053D19" w14:paraId="4ECA8B0A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36E38E63" w14:textId="77777777" w:rsidR="00392C0C" w:rsidRPr="00053D19" w:rsidRDefault="00392C0C" w:rsidP="002D6EF8">
            <w:pPr>
              <w:rPr>
                <w:rFonts w:asciiTheme="minorHAnsi" w:hAnsiTheme="minorHAnsi" w:cstheme="minorHAnsi"/>
                <w:b/>
              </w:rPr>
            </w:pPr>
            <w:r w:rsidRPr="00053D19">
              <w:rPr>
                <w:rFonts w:asciiTheme="minorHAnsi" w:hAnsiTheme="minorHAnsi" w:cstheme="minorHAnsi"/>
                <w:b/>
              </w:rPr>
              <w:t>Approval Date</w:t>
            </w:r>
          </w:p>
        </w:tc>
        <w:tc>
          <w:tcPr>
            <w:tcW w:w="2409" w:type="dxa"/>
            <w:shd w:val="clear" w:color="auto" w:fill="auto"/>
          </w:tcPr>
          <w:p w14:paraId="52DA40C8" w14:textId="77777777" w:rsidR="00392C0C" w:rsidRPr="00053D19" w:rsidRDefault="00392C0C" w:rsidP="002D6EF8">
            <w:pPr>
              <w:rPr>
                <w:rFonts w:asciiTheme="minorHAnsi" w:hAnsiTheme="minorHAnsi" w:cstheme="minorHAnsi"/>
                <w:b/>
              </w:rPr>
            </w:pPr>
            <w:r w:rsidRPr="00053D19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2409" w:type="dxa"/>
            <w:shd w:val="clear" w:color="auto" w:fill="auto"/>
          </w:tcPr>
          <w:p w14:paraId="19F42A2D" w14:textId="77777777" w:rsidR="00392C0C" w:rsidRPr="00053D19" w:rsidRDefault="00392C0C" w:rsidP="002D6EF8">
            <w:pPr>
              <w:rPr>
                <w:rFonts w:asciiTheme="minorHAnsi" w:hAnsiTheme="minorHAnsi" w:cstheme="minorHAnsi"/>
                <w:b/>
              </w:rPr>
            </w:pPr>
            <w:r w:rsidRPr="00053D19">
              <w:rPr>
                <w:rFonts w:asciiTheme="minorHAnsi" w:hAnsiTheme="minorHAnsi" w:cstheme="minorHAnsi"/>
                <w:b/>
              </w:rPr>
              <w:t>Amendments</w:t>
            </w:r>
          </w:p>
        </w:tc>
        <w:tc>
          <w:tcPr>
            <w:tcW w:w="2409" w:type="dxa"/>
            <w:shd w:val="clear" w:color="auto" w:fill="auto"/>
          </w:tcPr>
          <w:p w14:paraId="4702BAF1" w14:textId="77777777" w:rsidR="00392C0C" w:rsidRPr="00053D19" w:rsidRDefault="00392C0C" w:rsidP="002D6EF8">
            <w:pPr>
              <w:rPr>
                <w:rFonts w:asciiTheme="minorHAnsi" w:hAnsiTheme="minorHAnsi" w:cstheme="minorHAnsi"/>
                <w:b/>
              </w:rPr>
            </w:pPr>
            <w:r w:rsidRPr="00053D19">
              <w:rPr>
                <w:rFonts w:asciiTheme="minorHAnsi" w:hAnsiTheme="minorHAnsi" w:cstheme="minorHAnsi"/>
                <w:b/>
              </w:rPr>
              <w:t>Next Review</w:t>
            </w:r>
          </w:p>
        </w:tc>
      </w:tr>
      <w:tr w:rsidR="00392C0C" w:rsidRPr="00053D19" w14:paraId="0A845687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4B44D028" w14:textId="7152C478" w:rsidR="00392C0C" w:rsidRPr="00053D19" w:rsidRDefault="006F1696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lastRenderedPageBreak/>
              <w:t>12/01/2021</w:t>
            </w:r>
          </w:p>
        </w:tc>
        <w:tc>
          <w:tcPr>
            <w:tcW w:w="2409" w:type="dxa"/>
            <w:shd w:val="clear" w:color="auto" w:fill="auto"/>
          </w:tcPr>
          <w:p w14:paraId="29F259FC" w14:textId="77777777" w:rsidR="00392C0C" w:rsidRPr="00053D19" w:rsidRDefault="00392C0C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409" w:type="dxa"/>
            <w:shd w:val="clear" w:color="auto" w:fill="auto"/>
          </w:tcPr>
          <w:p w14:paraId="5172EF03" w14:textId="77777777" w:rsidR="00392C0C" w:rsidRPr="00053D19" w:rsidRDefault="00392C0C" w:rsidP="002D6E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1483775" w14:textId="77777777" w:rsidR="00392C0C" w:rsidRPr="00053D19" w:rsidRDefault="00392C0C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2 years</w:t>
            </w:r>
          </w:p>
        </w:tc>
      </w:tr>
      <w:tr w:rsidR="008E1362" w:rsidRPr="00053D19" w14:paraId="093B7E3B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0433E67C" w14:textId="44839191" w:rsidR="008E1362" w:rsidRPr="00053D19" w:rsidRDefault="00B3337B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29/03/2021</w:t>
            </w:r>
          </w:p>
        </w:tc>
        <w:tc>
          <w:tcPr>
            <w:tcW w:w="2409" w:type="dxa"/>
            <w:shd w:val="clear" w:color="auto" w:fill="auto"/>
          </w:tcPr>
          <w:p w14:paraId="561DD15A" w14:textId="50567A90" w:rsidR="008E1362" w:rsidRPr="00053D19" w:rsidRDefault="008E1362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409" w:type="dxa"/>
            <w:shd w:val="clear" w:color="auto" w:fill="auto"/>
          </w:tcPr>
          <w:p w14:paraId="50F54D46" w14:textId="18757C95" w:rsidR="008E1362" w:rsidRPr="00053D19" w:rsidRDefault="00BF30F7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Rental Reforms</w:t>
            </w:r>
          </w:p>
        </w:tc>
        <w:tc>
          <w:tcPr>
            <w:tcW w:w="2409" w:type="dxa"/>
            <w:shd w:val="clear" w:color="auto" w:fill="auto"/>
          </w:tcPr>
          <w:p w14:paraId="6DA25FA0" w14:textId="398986AE" w:rsidR="008E1362" w:rsidRPr="00053D19" w:rsidRDefault="008E1362" w:rsidP="002D6EF8">
            <w:pPr>
              <w:rPr>
                <w:rFonts w:asciiTheme="minorHAnsi" w:hAnsiTheme="minorHAnsi" w:cstheme="minorHAnsi"/>
              </w:rPr>
            </w:pPr>
            <w:r w:rsidRPr="00053D19">
              <w:rPr>
                <w:rFonts w:asciiTheme="minorHAnsi" w:hAnsiTheme="minorHAnsi" w:cstheme="minorHAnsi"/>
              </w:rPr>
              <w:t>2 years</w:t>
            </w:r>
          </w:p>
        </w:tc>
      </w:tr>
    </w:tbl>
    <w:p w14:paraId="11F8366A" w14:textId="77777777" w:rsidR="00392C0C" w:rsidRPr="00053D19" w:rsidRDefault="00392C0C" w:rsidP="00871F5D">
      <w:pPr>
        <w:pStyle w:val="BodyText"/>
        <w:ind w:left="0"/>
        <w:rPr>
          <w:rFonts w:asciiTheme="minorHAnsi" w:hAnsiTheme="minorHAnsi" w:cstheme="minorHAnsi"/>
        </w:rPr>
      </w:pPr>
    </w:p>
    <w:sectPr w:rsidR="00392C0C" w:rsidRPr="00053D19"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E4D7" w14:textId="77777777" w:rsidR="00DA0054" w:rsidRDefault="00DA0054">
      <w:pPr>
        <w:spacing w:after="0" w:line="240" w:lineRule="auto"/>
      </w:pPr>
      <w:r>
        <w:separator/>
      </w:r>
    </w:p>
  </w:endnote>
  <w:endnote w:type="continuationSeparator" w:id="0">
    <w:p w14:paraId="0D36D79B" w14:textId="77777777" w:rsidR="00DA0054" w:rsidRDefault="00DA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3887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2BE4" w14:textId="77777777" w:rsidR="00DA0054" w:rsidRDefault="00DA0054">
      <w:pPr>
        <w:spacing w:after="0" w:line="240" w:lineRule="auto"/>
      </w:pPr>
      <w:r>
        <w:separator/>
      </w:r>
    </w:p>
  </w:footnote>
  <w:footnote w:type="continuationSeparator" w:id="0">
    <w:p w14:paraId="1672804B" w14:textId="77777777" w:rsidR="00DA0054" w:rsidRDefault="00DA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A540" w14:textId="5B998676" w:rsidR="004C6608" w:rsidRDefault="00632D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4906BF7" wp14:editId="16F1891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084070" cy="700405"/>
          <wp:effectExtent l="0" t="0" r="0" b="444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467DB" w14:textId="77777777" w:rsidR="004C6608" w:rsidRPr="008E1362" w:rsidRDefault="00871F5D" w:rsidP="00DC14F6">
    <w:pPr>
      <w:pStyle w:val="Title"/>
      <w:spacing w:before="0" w:after="0"/>
      <w:jc w:val="right"/>
      <w:rPr>
        <w:rFonts w:asciiTheme="minorHAnsi" w:hAnsiTheme="minorHAnsi" w:cstheme="minorHAnsi"/>
        <w:b/>
        <w:sz w:val="56"/>
      </w:rPr>
    </w:pPr>
    <w:r w:rsidRPr="008E1362">
      <w:rPr>
        <w:rFonts w:asciiTheme="minorHAnsi" w:hAnsiTheme="minorHAnsi" w:cstheme="minorHAnsi"/>
        <w:b/>
        <w:sz w:val="56"/>
      </w:rPr>
      <w:t>P</w:t>
    </w:r>
    <w:r w:rsidR="00F50245" w:rsidRPr="008E1362">
      <w:rPr>
        <w:rFonts w:asciiTheme="minorHAnsi" w:hAnsiTheme="minorHAnsi" w:cstheme="minorHAnsi"/>
        <w:b/>
        <w:sz w:val="56"/>
      </w:rPr>
      <w:t>OLICY</w:t>
    </w:r>
  </w:p>
  <w:p w14:paraId="55C1341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2CD"/>
    <w:multiLevelType w:val="hybridMultilevel"/>
    <w:tmpl w:val="FFB46620"/>
    <w:lvl w:ilvl="0" w:tplc="6CD254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80D6B"/>
    <w:multiLevelType w:val="hybridMultilevel"/>
    <w:tmpl w:val="FC841A1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0023D8"/>
    <w:multiLevelType w:val="hybridMultilevel"/>
    <w:tmpl w:val="5010D5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74F2F"/>
    <w:multiLevelType w:val="hybridMultilevel"/>
    <w:tmpl w:val="ED34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3105B9"/>
    <w:multiLevelType w:val="hybridMultilevel"/>
    <w:tmpl w:val="A868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56095"/>
    <w:multiLevelType w:val="hybridMultilevel"/>
    <w:tmpl w:val="0EAA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F7591"/>
    <w:multiLevelType w:val="hybridMultilevel"/>
    <w:tmpl w:val="2AFEA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B87328"/>
    <w:multiLevelType w:val="hybridMultilevel"/>
    <w:tmpl w:val="94F05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75C517D"/>
    <w:multiLevelType w:val="hybridMultilevel"/>
    <w:tmpl w:val="F976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4378F6"/>
    <w:multiLevelType w:val="hybridMultilevel"/>
    <w:tmpl w:val="77BE59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B57DE"/>
    <w:multiLevelType w:val="hybridMultilevel"/>
    <w:tmpl w:val="433CC94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860228"/>
    <w:multiLevelType w:val="hybridMultilevel"/>
    <w:tmpl w:val="E4201B9C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4" w15:restartNumberingAfterBreak="0">
    <w:nsid w:val="22677ABB"/>
    <w:multiLevelType w:val="hybridMultilevel"/>
    <w:tmpl w:val="1240A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F6D0C"/>
    <w:multiLevelType w:val="hybridMultilevel"/>
    <w:tmpl w:val="798A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30367"/>
    <w:multiLevelType w:val="hybridMultilevel"/>
    <w:tmpl w:val="A222789E"/>
    <w:lvl w:ilvl="0" w:tplc="0DBAF312">
      <w:numFmt w:val="bullet"/>
      <w:lvlText w:val="•"/>
      <w:lvlJc w:val="left"/>
      <w:pPr>
        <w:ind w:left="1080" w:hanging="720"/>
      </w:pPr>
      <w:rPr>
        <w:rFonts w:ascii="Calibri" w:eastAsia="Georg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BE3C07"/>
    <w:multiLevelType w:val="hybridMultilevel"/>
    <w:tmpl w:val="15B29B5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4FA3728"/>
    <w:multiLevelType w:val="hybridMultilevel"/>
    <w:tmpl w:val="319ED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4096B"/>
    <w:multiLevelType w:val="hybridMultilevel"/>
    <w:tmpl w:val="049AE39C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F70BBD"/>
    <w:multiLevelType w:val="hybridMultilevel"/>
    <w:tmpl w:val="2B0E47AA"/>
    <w:lvl w:ilvl="0" w:tplc="B838F1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5F60014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4356D132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092C4FA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D6E0E62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1B6EBE4C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F202D90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18CF016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FC2A7576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1" w15:restartNumberingAfterBreak="0">
    <w:nsid w:val="3C136B75"/>
    <w:multiLevelType w:val="hybridMultilevel"/>
    <w:tmpl w:val="5CD0FC14"/>
    <w:lvl w:ilvl="0" w:tplc="0C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3E1205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BF63B3"/>
    <w:multiLevelType w:val="hybridMultilevel"/>
    <w:tmpl w:val="31E445A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9075AA"/>
    <w:multiLevelType w:val="hybridMultilevel"/>
    <w:tmpl w:val="95901D28"/>
    <w:lvl w:ilvl="0" w:tplc="0C0213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3C87B7E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15C238AA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47D88002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57B646D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2730E894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23B8957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9FEE922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6C240842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5" w15:restartNumberingAfterBreak="0">
    <w:nsid w:val="4BE55C1A"/>
    <w:multiLevelType w:val="hybridMultilevel"/>
    <w:tmpl w:val="11E84A86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454DC"/>
    <w:multiLevelType w:val="hybridMultilevel"/>
    <w:tmpl w:val="737CC5F2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7D4E36"/>
    <w:multiLevelType w:val="hybridMultilevel"/>
    <w:tmpl w:val="2370E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46AF3"/>
    <w:multiLevelType w:val="multilevel"/>
    <w:tmpl w:val="7B42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5B1743B2"/>
    <w:multiLevelType w:val="hybridMultilevel"/>
    <w:tmpl w:val="885E1378"/>
    <w:lvl w:ilvl="0" w:tplc="29DC59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F6F86A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AC9083A8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6138FB3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BD001C94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D8DAD518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B298E4A6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61209EEC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3166A6E0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40" w15:restartNumberingAfterBreak="0">
    <w:nsid w:val="5F66227A"/>
    <w:multiLevelType w:val="hybridMultilevel"/>
    <w:tmpl w:val="B986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1564"/>
    <w:multiLevelType w:val="hybridMultilevel"/>
    <w:tmpl w:val="92F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B2C32"/>
    <w:multiLevelType w:val="hybridMultilevel"/>
    <w:tmpl w:val="33106C7A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7E23"/>
    <w:multiLevelType w:val="hybridMultilevel"/>
    <w:tmpl w:val="A2A8BA54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24CDB"/>
    <w:multiLevelType w:val="hybridMultilevel"/>
    <w:tmpl w:val="64A0A4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25"/>
  </w:num>
  <w:num w:numId="15">
    <w:abstractNumId w:val="42"/>
  </w:num>
  <w:num w:numId="16">
    <w:abstractNumId w:val="34"/>
  </w:num>
  <w:num w:numId="17">
    <w:abstractNumId w:val="33"/>
  </w:num>
  <w:num w:numId="18">
    <w:abstractNumId w:val="43"/>
  </w:num>
  <w:num w:numId="19">
    <w:abstractNumId w:val="29"/>
  </w:num>
  <w:num w:numId="20">
    <w:abstractNumId w:val="36"/>
  </w:num>
  <w:num w:numId="21">
    <w:abstractNumId w:val="30"/>
  </w:num>
  <w:num w:numId="22">
    <w:abstractNumId w:val="11"/>
  </w:num>
  <w:num w:numId="23">
    <w:abstractNumId w:val="39"/>
  </w:num>
  <w:num w:numId="24">
    <w:abstractNumId w:val="22"/>
  </w:num>
  <w:num w:numId="25">
    <w:abstractNumId w:val="12"/>
  </w:num>
  <w:num w:numId="26">
    <w:abstractNumId w:val="27"/>
  </w:num>
  <w:num w:numId="27">
    <w:abstractNumId w:val="35"/>
  </w:num>
  <w:num w:numId="28">
    <w:abstractNumId w:val="26"/>
  </w:num>
  <w:num w:numId="29">
    <w:abstractNumId w:val="20"/>
  </w:num>
  <w:num w:numId="30">
    <w:abstractNumId w:val="15"/>
  </w:num>
  <w:num w:numId="31">
    <w:abstractNumId w:val="23"/>
  </w:num>
  <w:num w:numId="32">
    <w:abstractNumId w:val="13"/>
  </w:num>
  <w:num w:numId="33">
    <w:abstractNumId w:val="38"/>
  </w:num>
  <w:num w:numId="34">
    <w:abstractNumId w:val="18"/>
  </w:num>
  <w:num w:numId="35">
    <w:abstractNumId w:val="24"/>
  </w:num>
  <w:num w:numId="36">
    <w:abstractNumId w:val="41"/>
  </w:num>
  <w:num w:numId="37">
    <w:abstractNumId w:val="44"/>
  </w:num>
  <w:num w:numId="38">
    <w:abstractNumId w:val="21"/>
  </w:num>
  <w:num w:numId="39">
    <w:abstractNumId w:val="40"/>
  </w:num>
  <w:num w:numId="40">
    <w:abstractNumId w:val="17"/>
  </w:num>
  <w:num w:numId="41">
    <w:abstractNumId w:val="31"/>
  </w:num>
  <w:num w:numId="42">
    <w:abstractNumId w:val="37"/>
  </w:num>
  <w:num w:numId="43">
    <w:abstractNumId w:val="14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D0"/>
    <w:rsid w:val="0002157A"/>
    <w:rsid w:val="00053D19"/>
    <w:rsid w:val="00053F7F"/>
    <w:rsid w:val="00063510"/>
    <w:rsid w:val="0006554F"/>
    <w:rsid w:val="000A088B"/>
    <w:rsid w:val="000B2421"/>
    <w:rsid w:val="0012124D"/>
    <w:rsid w:val="00131922"/>
    <w:rsid w:val="00142364"/>
    <w:rsid w:val="00146F16"/>
    <w:rsid w:val="00151307"/>
    <w:rsid w:val="001961CB"/>
    <w:rsid w:val="001B2780"/>
    <w:rsid w:val="001C0809"/>
    <w:rsid w:val="001D479A"/>
    <w:rsid w:val="001D73BE"/>
    <w:rsid w:val="001D7BED"/>
    <w:rsid w:val="002226E5"/>
    <w:rsid w:val="002272F8"/>
    <w:rsid w:val="00295160"/>
    <w:rsid w:val="002B44A5"/>
    <w:rsid w:val="002C2D0C"/>
    <w:rsid w:val="002D6EF8"/>
    <w:rsid w:val="00305999"/>
    <w:rsid w:val="0033623A"/>
    <w:rsid w:val="00360594"/>
    <w:rsid w:val="00362B80"/>
    <w:rsid w:val="00365ED5"/>
    <w:rsid w:val="00383CB2"/>
    <w:rsid w:val="00392C0C"/>
    <w:rsid w:val="00397840"/>
    <w:rsid w:val="003A276E"/>
    <w:rsid w:val="003A7BEC"/>
    <w:rsid w:val="003B6E7C"/>
    <w:rsid w:val="003D58C0"/>
    <w:rsid w:val="004051FF"/>
    <w:rsid w:val="004308EF"/>
    <w:rsid w:val="00453E9B"/>
    <w:rsid w:val="004857C6"/>
    <w:rsid w:val="004A5B29"/>
    <w:rsid w:val="004B10B4"/>
    <w:rsid w:val="004B67EB"/>
    <w:rsid w:val="004C6608"/>
    <w:rsid w:val="004C7AF6"/>
    <w:rsid w:val="004F1228"/>
    <w:rsid w:val="004F6BD0"/>
    <w:rsid w:val="00502510"/>
    <w:rsid w:val="00554CAF"/>
    <w:rsid w:val="005901A7"/>
    <w:rsid w:val="005B4FA4"/>
    <w:rsid w:val="005C4724"/>
    <w:rsid w:val="00632D29"/>
    <w:rsid w:val="006636D4"/>
    <w:rsid w:val="006F1696"/>
    <w:rsid w:val="00700BFF"/>
    <w:rsid w:val="00714B12"/>
    <w:rsid w:val="00723E4B"/>
    <w:rsid w:val="00761D6D"/>
    <w:rsid w:val="00766CB4"/>
    <w:rsid w:val="00771132"/>
    <w:rsid w:val="007D231E"/>
    <w:rsid w:val="007D5D1F"/>
    <w:rsid w:val="007E5F96"/>
    <w:rsid w:val="007F5E55"/>
    <w:rsid w:val="00811448"/>
    <w:rsid w:val="0086196D"/>
    <w:rsid w:val="00871CB2"/>
    <w:rsid w:val="00871F5D"/>
    <w:rsid w:val="00874A3B"/>
    <w:rsid w:val="008E1362"/>
    <w:rsid w:val="008E7BB8"/>
    <w:rsid w:val="009036B8"/>
    <w:rsid w:val="009125D6"/>
    <w:rsid w:val="009132CE"/>
    <w:rsid w:val="00940010"/>
    <w:rsid w:val="009941F9"/>
    <w:rsid w:val="009E519B"/>
    <w:rsid w:val="00A32F36"/>
    <w:rsid w:val="00A51366"/>
    <w:rsid w:val="00A73D54"/>
    <w:rsid w:val="00A876AD"/>
    <w:rsid w:val="00AB3676"/>
    <w:rsid w:val="00AD2985"/>
    <w:rsid w:val="00AD4DF1"/>
    <w:rsid w:val="00AF11F8"/>
    <w:rsid w:val="00B3337B"/>
    <w:rsid w:val="00B35B0C"/>
    <w:rsid w:val="00B770D7"/>
    <w:rsid w:val="00B84E1E"/>
    <w:rsid w:val="00BD61E8"/>
    <w:rsid w:val="00BF30F7"/>
    <w:rsid w:val="00C10E4E"/>
    <w:rsid w:val="00C6202D"/>
    <w:rsid w:val="00C936F0"/>
    <w:rsid w:val="00CB7964"/>
    <w:rsid w:val="00CC2888"/>
    <w:rsid w:val="00CD75E8"/>
    <w:rsid w:val="00CE58C4"/>
    <w:rsid w:val="00CE6D7B"/>
    <w:rsid w:val="00D2504C"/>
    <w:rsid w:val="00D34134"/>
    <w:rsid w:val="00D45FAB"/>
    <w:rsid w:val="00D54CA1"/>
    <w:rsid w:val="00D77EE7"/>
    <w:rsid w:val="00D804C2"/>
    <w:rsid w:val="00DA0054"/>
    <w:rsid w:val="00DA05E3"/>
    <w:rsid w:val="00DC03F4"/>
    <w:rsid w:val="00DC14F6"/>
    <w:rsid w:val="00DD1AE7"/>
    <w:rsid w:val="00E36946"/>
    <w:rsid w:val="00EA18F9"/>
    <w:rsid w:val="00EA44DF"/>
    <w:rsid w:val="00ED7B08"/>
    <w:rsid w:val="00EE3071"/>
    <w:rsid w:val="00F14E3F"/>
    <w:rsid w:val="00F2223A"/>
    <w:rsid w:val="00F335E1"/>
    <w:rsid w:val="00F50245"/>
    <w:rsid w:val="00F77238"/>
    <w:rsid w:val="00F86386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BC95"/>
  <w15:chartTrackingRefBased/>
  <w15:docId w15:val="{6DA794ED-AB30-4DAC-80F3-E2CC11A0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34"/>
    <w:pPr>
      <w:spacing w:before="120" w:after="120" w:line="264" w:lineRule="auto"/>
    </w:pPr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D7BED"/>
    <w:pPr>
      <w:keepNext/>
      <w:keepLines/>
      <w:numPr>
        <w:numId w:val="13"/>
      </w:numPr>
      <w:spacing w:before="240"/>
      <w:ind w:left="714" w:hanging="357"/>
      <w:outlineLvl w:val="0"/>
    </w:pPr>
    <w:rPr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color w:val="6638B6"/>
      <w:kern w:val="28"/>
      <w:sz w:val="40"/>
      <w:szCs w:val="44"/>
    </w:rPr>
  </w:style>
  <w:style w:type="character" w:customStyle="1" w:styleId="TitleChar">
    <w:name w:val="Title Char"/>
    <w:link w:val="Title"/>
    <w:uiPriority w:val="1"/>
    <w:rsid w:val="004C6608"/>
    <w:rPr>
      <w:rFonts w:ascii="Arial" w:eastAsia="Times New Roman" w:hAnsi="Arial" w:cs="Times New Roman"/>
      <w:color w:val="6638B6"/>
      <w:kern w:val="28"/>
      <w:sz w:val="40"/>
      <w:szCs w:val="44"/>
    </w:rPr>
  </w:style>
  <w:style w:type="character" w:customStyle="1" w:styleId="Heading2Char">
    <w:name w:val="Heading 2 Char"/>
    <w:link w:val="Heading2"/>
    <w:uiPriority w:val="3"/>
    <w:rsid w:val="005C4724"/>
    <w:rPr>
      <w:rFonts w:ascii="Arial" w:eastAsia="Times New Roman" w:hAnsi="Arial" w:cs="Times New Roman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tblPr>
      <w:jc w:val="center"/>
      <w:tblBorders>
        <w:top w:val="single" w:sz="36" w:space="0" w:color="6D7F91"/>
        <w:bottom w:val="single" w:sz="2" w:space="0" w:color="6D7F91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link w:val="Heading1"/>
    <w:uiPriority w:val="3"/>
    <w:rsid w:val="001D7BED"/>
    <w:rPr>
      <w:rFonts w:ascii="Arial" w:hAnsi="Arial"/>
      <w:sz w:val="32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b/>
        <w:bCs/>
      </w:rPr>
      <w:tblPr/>
      <w:tcPr>
        <w:shd w:val="clear" w:color="auto" w:fill="FF6ABF"/>
      </w:tcPr>
    </w:tblStylePr>
    <w:tblStylePr w:type="lastRow">
      <w:rPr>
        <w:b/>
        <w:bCs/>
        <w:color w:val="000000"/>
      </w:rPr>
      <w:tblPr/>
      <w:tcPr>
        <w:shd w:val="clear" w:color="auto" w:fill="FF6ABF"/>
      </w:tcPr>
    </w:tblStylePr>
    <w:tblStylePr w:type="firstCol">
      <w:rPr>
        <w:color w:val="FFFFFF"/>
      </w:rPr>
      <w:tblPr/>
      <w:tcPr>
        <w:shd w:val="clear" w:color="auto" w:fill="67003B"/>
      </w:tcPr>
    </w:tblStylePr>
    <w:tblStylePr w:type="lastCol">
      <w:rPr>
        <w:color w:val="FFFFFF"/>
      </w:rPr>
      <w:tblPr/>
      <w:tcPr>
        <w:shd w:val="clear" w:color="auto" w:fill="67003B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b/>
        <w:bCs/>
      </w:rPr>
      <w:tblPr/>
      <w:tcPr>
        <w:shd w:val="clear" w:color="auto" w:fill="D8DCE1"/>
      </w:tcPr>
    </w:tblStylePr>
    <w:tblStylePr w:type="lastRow">
      <w:rPr>
        <w:b/>
        <w:bCs/>
        <w:color w:val="000000"/>
      </w:rPr>
      <w:tblPr/>
      <w:tcPr>
        <w:shd w:val="clear" w:color="auto" w:fill="D8DCE1"/>
      </w:tcPr>
    </w:tblStylePr>
    <w:tblStylePr w:type="firstCol">
      <w:rPr>
        <w:color w:val="FFFFFF"/>
      </w:rPr>
      <w:tblPr/>
      <w:tcPr>
        <w:shd w:val="clear" w:color="auto" w:fill="6D7F91"/>
      </w:tcPr>
    </w:tblStylePr>
    <w:tblStylePr w:type="lastCol">
      <w:rPr>
        <w:color w:val="FFFFFF"/>
      </w:rPr>
      <w:tblPr/>
      <w:tcPr>
        <w:shd w:val="clear" w:color="auto" w:fill="6D7F91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EEFF"/>
    </w:tcPr>
    <w:tblStylePr w:type="firstRow">
      <w:rPr>
        <w:b/>
        <w:bCs/>
      </w:rPr>
      <w:tblPr/>
      <w:tcPr>
        <w:shd w:val="clear" w:color="auto" w:fill="85DDFF"/>
      </w:tcPr>
    </w:tblStylePr>
    <w:tblStylePr w:type="lastRow">
      <w:rPr>
        <w:b/>
        <w:bCs/>
        <w:color w:val="000000"/>
      </w:rPr>
      <w:tblPr/>
      <w:tcPr>
        <w:shd w:val="clear" w:color="auto" w:fill="85DDFF"/>
      </w:tcPr>
    </w:tblStylePr>
    <w:tblStylePr w:type="firstCol">
      <w:rPr>
        <w:color w:val="FFFFFF"/>
      </w:rPr>
      <w:tblPr/>
      <w:tcPr>
        <w:shd w:val="clear" w:color="auto" w:fill="006F9A"/>
      </w:tcPr>
    </w:tblStylePr>
    <w:tblStylePr w:type="lastCol">
      <w:rPr>
        <w:color w:val="FFFFFF"/>
      </w:rPr>
      <w:tblPr/>
      <w:tcPr>
        <w:shd w:val="clear" w:color="auto" w:fill="006F9A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AFFF7"/>
    </w:tcPr>
    <w:tblStylePr w:type="firstRow">
      <w:rPr>
        <w:b/>
        <w:bCs/>
      </w:rPr>
      <w:tblPr/>
      <w:tcPr>
        <w:shd w:val="clear" w:color="auto" w:fill="76FFEF"/>
      </w:tcPr>
    </w:tblStylePr>
    <w:tblStylePr w:type="lastRow">
      <w:rPr>
        <w:b/>
        <w:bCs/>
        <w:color w:val="000000"/>
      </w:rPr>
      <w:tblPr/>
      <w:tcPr>
        <w:shd w:val="clear" w:color="auto" w:fill="76FFEF"/>
      </w:tcPr>
    </w:tblStylePr>
    <w:tblStylePr w:type="firstCol">
      <w:rPr>
        <w:color w:val="FFFFFF"/>
      </w:rPr>
      <w:tblPr/>
      <w:tcPr>
        <w:shd w:val="clear" w:color="auto" w:fill="007E70"/>
      </w:tcPr>
    </w:tblStylePr>
    <w:tblStylePr w:type="lastCol">
      <w:rPr>
        <w:color w:val="FFFFFF"/>
      </w:rPr>
      <w:tblPr/>
      <w:tcPr>
        <w:shd w:val="clear" w:color="auto" w:fill="007E70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E1CC"/>
    </w:tcPr>
    <w:tblStylePr w:type="firstRow">
      <w:rPr>
        <w:b/>
        <w:bCs/>
      </w:rPr>
      <w:tblPr/>
      <w:tcPr>
        <w:shd w:val="clear" w:color="auto" w:fill="FFC499"/>
      </w:tcPr>
    </w:tblStylePr>
    <w:tblStylePr w:type="lastRow">
      <w:rPr>
        <w:b/>
        <w:bCs/>
        <w:color w:val="000000"/>
      </w:rPr>
      <w:tblPr/>
      <w:tcPr>
        <w:shd w:val="clear" w:color="auto" w:fill="FFC499"/>
      </w:tcPr>
    </w:tblStylePr>
    <w:tblStylePr w:type="firstCol">
      <w:rPr>
        <w:color w:val="FFFFFF"/>
      </w:rPr>
      <w:tblPr/>
      <w:tcPr>
        <w:shd w:val="clear" w:color="auto" w:fill="BF5000"/>
      </w:tcPr>
    </w:tblStylePr>
    <w:tblStylePr w:type="lastCol">
      <w:rPr>
        <w:color w:val="FFFFFF"/>
      </w:rPr>
      <w:tblPr/>
      <w:tcPr>
        <w:shd w:val="clear" w:color="auto" w:fill="BF5000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b/>
        <w:bCs/>
      </w:rPr>
      <w:tblPr/>
      <w:tcPr>
        <w:shd w:val="clear" w:color="auto" w:fill="D2B1DB"/>
      </w:tcPr>
    </w:tblStylePr>
    <w:tblStylePr w:type="lastRow">
      <w:rPr>
        <w:b/>
        <w:bCs/>
        <w:color w:val="000000"/>
      </w:rPr>
      <w:tblPr/>
      <w:tcPr>
        <w:shd w:val="clear" w:color="auto" w:fill="D2B1DB"/>
      </w:tcPr>
    </w:tblStylePr>
    <w:tblStylePr w:type="firstCol">
      <w:rPr>
        <w:color w:val="FFFFFF"/>
      </w:rPr>
      <w:tblPr/>
      <w:tcPr>
        <w:shd w:val="clear" w:color="auto" w:fill="673573"/>
      </w:tcPr>
    </w:tblStylePr>
    <w:tblStylePr w:type="lastCol">
      <w:rPr>
        <w:color w:val="FFFFFF"/>
      </w:rPr>
      <w:tblPr/>
      <w:tcPr>
        <w:shd w:val="clear" w:color="auto" w:fill="673573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DA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shd w:val="clear" w:color="auto" w:fill="FFB4DF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5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shd w:val="clear" w:color="auto" w:fill="EBEDF0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1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778"/>
      </w:tcPr>
    </w:tblStylePr>
    <w:tblStylePr w:type="lastRow">
      <w:rPr>
        <w:b/>
        <w:bCs/>
        <w:color w:val="0087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shd w:val="clear" w:color="auto" w:fill="C2EEFF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DDFF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7A4"/>
      </w:tcPr>
    </w:tblStylePr>
    <w:tblStylePr w:type="lastRow">
      <w:rPr>
        <w:b/>
        <w:bCs/>
        <w:color w:val="0077A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shd w:val="clear" w:color="auto" w:fill="BAFFF7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F0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shd w:val="clear" w:color="auto" w:fill="FFE1CC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4EB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600"/>
      </w:tcPr>
    </w:tblStylePr>
    <w:tblStylePr w:type="lastRow">
      <w:rPr>
        <w:b/>
        <w:bCs/>
        <w:color w:val="CC5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45B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CED4D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A997"/>
        <w:left w:val="single" w:sz="4" w:space="0" w:color="0096CE"/>
        <w:bottom w:val="single" w:sz="4" w:space="0" w:color="0096CE"/>
        <w:right w:val="single" w:sz="4" w:space="0" w:color="0096CE"/>
        <w:insideH w:val="single" w:sz="4" w:space="0" w:color="FFFFFF"/>
        <w:insideV w:val="single" w:sz="4" w:space="0" w:color="FFFFFF"/>
      </w:tblBorders>
    </w:tblPr>
    <w:tcPr>
      <w:shd w:val="clear" w:color="auto" w:fill="E1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97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97B"/>
          <w:insideV w:val="nil"/>
        </w:tcBorders>
        <w:shd w:val="clear" w:color="auto" w:fill="00597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67D5F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96CE"/>
        <w:left w:val="single" w:sz="4" w:space="0" w:color="00A997"/>
        <w:bottom w:val="single" w:sz="4" w:space="0" w:color="00A997"/>
        <w:right w:val="single" w:sz="4" w:space="0" w:color="00A997"/>
        <w:insideH w:val="single" w:sz="4" w:space="0" w:color="FFFFFF"/>
        <w:insideV w:val="single" w:sz="4" w:space="0" w:color="FFFFFF"/>
      </w:tblBorders>
    </w:tblPr>
    <w:tcPr>
      <w:shd w:val="clear" w:color="auto" w:fill="DDFF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55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55A"/>
          <w:insideV w:val="nil"/>
        </w:tcBorders>
        <w:shd w:val="clear" w:color="auto" w:fill="00655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55FF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8A479B"/>
        <w:left w:val="single" w:sz="4" w:space="0" w:color="FF6C00"/>
        <w:bottom w:val="single" w:sz="4" w:space="0" w:color="FF6C00"/>
        <w:right w:val="single" w:sz="4" w:space="0" w:color="FF6C00"/>
        <w:insideH w:val="single" w:sz="4" w:space="0" w:color="FFFFFF"/>
        <w:insideV w:val="single" w:sz="4" w:space="0" w:color="FFFFFF"/>
      </w:tblBorders>
    </w:tblPr>
    <w:tcPr>
      <w:shd w:val="clear" w:color="auto" w:fill="FFF0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4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4000"/>
          <w:insideV w:val="nil"/>
        </w:tcBorders>
        <w:shd w:val="clear" w:color="auto" w:fill="994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B5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FF6C00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C79D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0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9EAAB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96C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6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F9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A99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4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E7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FF6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35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5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479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hAnsi="Georg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="Georgia" w:hAnsi="Georgia"/>
      <w:szCs w:val="20"/>
    </w:rPr>
  </w:style>
  <w:style w:type="character" w:styleId="FollowedHyperlink">
    <w:name w:val="FollowedHyperlink"/>
    <w:uiPriority w:val="99"/>
    <w:semiHidden/>
    <w:unhideWhenUsed/>
    <w:rsid w:val="00502510"/>
    <w:rPr>
      <w:color w:val="8A479B"/>
      <w:u w:val="single"/>
    </w:rPr>
  </w:style>
  <w:style w:type="character" w:styleId="FootnoteReference">
    <w:name w:val="footnote reference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85DDFF"/>
        <w:left w:val="single" w:sz="4" w:space="0" w:color="85DDFF"/>
        <w:bottom w:val="single" w:sz="4" w:space="0" w:color="85DDFF"/>
        <w:right w:val="single" w:sz="4" w:space="0" w:color="85DDFF"/>
        <w:insideH w:val="single" w:sz="4" w:space="0" w:color="85DDFF"/>
        <w:insideV w:val="single" w:sz="4" w:space="0" w:color="85DD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76FFEF"/>
        <w:left w:val="single" w:sz="4" w:space="0" w:color="76FFEF"/>
        <w:bottom w:val="single" w:sz="4" w:space="0" w:color="76FFEF"/>
        <w:right w:val="single" w:sz="4" w:space="0" w:color="76FFEF"/>
        <w:insideH w:val="single" w:sz="4" w:space="0" w:color="76FFEF"/>
        <w:insideV w:val="single" w:sz="4" w:space="0" w:color="76FFEF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C499"/>
        <w:left w:val="single" w:sz="4" w:space="0" w:color="FFC499"/>
        <w:bottom w:val="single" w:sz="4" w:space="0" w:color="FFC499"/>
        <w:right w:val="single" w:sz="4" w:space="0" w:color="FFC499"/>
        <w:insideH w:val="single" w:sz="4" w:space="0" w:color="FFC499"/>
        <w:insideV w:val="single" w:sz="4" w:space="0" w:color="FFC499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1FA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2-Accent2">
    <w:name w:val="Grid Table 2 Accent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CB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2-Accent3">
    <w:name w:val="Grid Table 2 Accent 3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48CCFF"/>
        <w:bottom w:val="single" w:sz="2" w:space="0" w:color="48CCFF"/>
        <w:insideH w:val="single" w:sz="2" w:space="0" w:color="48CCFF"/>
        <w:insideV w:val="single" w:sz="2" w:space="0" w:color="48C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8C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2-Accent4">
    <w:name w:val="Grid Table 2 Accent 4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32FFE8"/>
        <w:bottom w:val="single" w:sz="2" w:space="0" w:color="32FFE8"/>
        <w:insideH w:val="single" w:sz="2" w:space="0" w:color="32FFE8"/>
        <w:insideV w:val="single" w:sz="2" w:space="0" w:color="32FF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2FF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2-Accent5">
    <w:name w:val="Grid Table 2 Accent 5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A666"/>
        <w:bottom w:val="single" w:sz="2" w:space="0" w:color="FFA666"/>
        <w:insideH w:val="single" w:sz="2" w:space="0" w:color="FFA666"/>
        <w:insideV w:val="single" w:sz="2" w:space="0" w:color="FFA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A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2-Accent6">
    <w:name w:val="Grid Table 2 Accent 6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C8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3">
    <w:name w:val="Grid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table" w:styleId="GridTable4">
    <w:name w:val="Grid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4-Accent2">
    <w:name w:val="Grid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4-Accent3">
    <w:name w:val="Grid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4-Accent4">
    <w:name w:val="Grid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4-Accent5">
    <w:name w:val="Grid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4-Accent6">
    <w:name w:val="Grid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5Dark">
    <w:name w:val="Grid Table 5 Dark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B4D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0050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6ABF"/>
      </w:tcPr>
    </w:tblStylePr>
  </w:style>
  <w:style w:type="table" w:styleId="GridTable5Dark-Accent2">
    <w:name w:val="Grid Table 5 Dark Accent 2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D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AAB6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D8DCE1"/>
      </w:tcPr>
    </w:tblStylePr>
  </w:style>
  <w:style w:type="table" w:styleId="GridTable5Dark-Accent3">
    <w:name w:val="Grid Table 5 Dark Accent 3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2E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CE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85DDFF"/>
      </w:tcPr>
    </w:tblStylePr>
  </w:style>
  <w:style w:type="table" w:styleId="GridTable5Dark-Accent4">
    <w:name w:val="Grid Table 5 Dark Accent 4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AFF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997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76FFEF"/>
      </w:tcPr>
    </w:tblStylePr>
  </w:style>
  <w:style w:type="table" w:styleId="GridTable5Dark-Accent5">
    <w:name w:val="Grid Table 5 Dark Accent 5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E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6C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C499"/>
      </w:tcPr>
    </w:tblStylePr>
  </w:style>
  <w:style w:type="table" w:styleId="GridTable5Dark-Accent6">
    <w:name w:val="Grid Table 5 Dark Accent 6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D7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479B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D2B1DB"/>
      </w:tcPr>
    </w:tblStylePr>
  </w:style>
  <w:style w:type="table" w:styleId="GridTable6Colorful">
    <w:name w:val="Grid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6Colorful-Accent2">
    <w:name w:val="Grid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6Colorful-Accent3">
    <w:name w:val="Grid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6Colorful-Accent4">
    <w:name w:val="Grid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6Colorful-Accent5">
    <w:name w:val="Grid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6Colorful-Accent6">
    <w:name w:val="Grid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7Colorful">
    <w:name w:val="Grid Table 7 Colorful"/>
    <w:basedOn w:val="TableNormal"/>
    <w:uiPriority w:val="52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02510"/>
    <w:rPr>
      <w:i/>
      <w:iCs/>
    </w:rPr>
  </w:style>
  <w:style w:type="character" w:styleId="HTMLCite">
    <w:name w:val="HTML Cite"/>
    <w:uiPriority w:val="99"/>
    <w:semiHidden/>
    <w:unhideWhenUsed/>
    <w:rsid w:val="00502510"/>
    <w:rPr>
      <w:i/>
      <w:iCs/>
    </w:rPr>
  </w:style>
  <w:style w:type="character" w:styleId="HTMLCode">
    <w:name w:val="HTML Cod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502510"/>
    <w:rPr>
      <w:i/>
      <w:iCs/>
    </w:rPr>
  </w:style>
  <w:style w:type="character" w:styleId="HTMLKeyboard">
    <w:name w:val="HTML Keyboard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502510"/>
    <w:rPr>
      <w:i/>
      <w:iCs/>
    </w:rPr>
  </w:style>
  <w:style w:type="character" w:styleId="Hyperlink">
    <w:name w:val="Hyperlink"/>
    <w:uiPriority w:val="99"/>
    <w:semiHidden/>
    <w:unhideWhenUsed/>
    <w:rsid w:val="00502510"/>
    <w:rPr>
      <w:color w:val="0096CE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="Georgia" w:hAnsi="Georgia"/>
      <w:b/>
      <w:bCs/>
    </w:rPr>
  </w:style>
  <w:style w:type="character" w:styleId="IntenseEmphasis">
    <w:name w:val="Intense Emphasis"/>
    <w:uiPriority w:val="21"/>
    <w:semiHidden/>
    <w:unhideWhenUsed/>
    <w:qFormat/>
    <w:rsid w:val="00502510"/>
    <w:rPr>
      <w:i/>
      <w:iCs/>
      <w:color w:val="8A005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iCs/>
      <w:color w:val="8A0050"/>
    </w:rPr>
  </w:style>
  <w:style w:type="character" w:customStyle="1" w:styleId="IntenseQuoteChar">
    <w:name w:val="Intense Quote Char"/>
    <w:link w:val="IntenseQuote"/>
    <w:uiPriority w:val="30"/>
    <w:semiHidden/>
    <w:rsid w:val="00502510"/>
    <w:rPr>
      <w:i/>
      <w:iCs/>
      <w:color w:val="8A0050"/>
    </w:rPr>
  </w:style>
  <w:style w:type="character" w:styleId="IntenseReference">
    <w:name w:val="Intense Reference"/>
    <w:uiPriority w:val="32"/>
    <w:semiHidden/>
    <w:unhideWhenUsed/>
    <w:qFormat/>
    <w:rsid w:val="00502510"/>
    <w:rPr>
      <w:b/>
      <w:bCs/>
      <w:smallCaps/>
      <w:color w:val="8A0050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1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  <w:shd w:val="clear" w:color="auto" w:fill="B3EAFF"/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  <w:shd w:val="clear" w:color="auto" w:fill="B3EAFF"/>
      </w:tcPr>
    </w:tblStylePr>
    <w:tblStylePr w:type="band2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1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  <w:shd w:val="clear" w:color="auto" w:fill="AAFFF5"/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  <w:shd w:val="clear" w:color="auto" w:fill="AAFFF5"/>
      </w:tcPr>
    </w:tblStylePr>
    <w:tblStylePr w:type="band2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1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  <w:shd w:val="clear" w:color="auto" w:fill="FFDAC0"/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  <w:shd w:val="clear" w:color="auto" w:fill="FFDAC0"/>
      </w:tcPr>
    </w:tblStylePr>
    <w:tblStylePr w:type="band2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rPr>
      <w:color w:val="67003B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rPr>
      <w:color w:val="6D7F91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rPr>
      <w:color w:val="006F9A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rPr>
      <w:color w:val="007E7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rPr>
      <w:color w:val="BF5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rPr>
      <w:color w:val="673573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1Light-Accent2">
    <w:name w:val="List Table 1 Light Accent 2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1Light-Accent3">
    <w:name w:val="List Table 1 Light Accent 3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1Light-Accent4">
    <w:name w:val="List Table 1 Light Accent 4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1Light-Accent5">
    <w:name w:val="List Table 1 Light Accent 5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1Light-Accent6">
    <w:name w:val="List Table 1 Light Accent 6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2">
    <w:name w:val="List Table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1FA0"/>
        <w:bottom w:val="single" w:sz="4" w:space="0" w:color="FF1FA0"/>
        <w:insideH w:val="single" w:sz="4" w:space="0" w:color="FF1FA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2-Accent2">
    <w:name w:val="List Table 2 Accent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C4CBD3"/>
        <w:bottom w:val="single" w:sz="4" w:space="0" w:color="C4CBD3"/>
        <w:insideH w:val="single" w:sz="4" w:space="0" w:color="C4CB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2-Accent3">
    <w:name w:val="List Table 2 Accent 3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48CCFF"/>
        <w:bottom w:val="single" w:sz="4" w:space="0" w:color="48CCFF"/>
        <w:insideH w:val="single" w:sz="4" w:space="0" w:color="48C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2-Accent4">
    <w:name w:val="List Table 2 Accent 4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32FFE8"/>
        <w:bottom w:val="single" w:sz="4" w:space="0" w:color="32FFE8"/>
        <w:insideH w:val="single" w:sz="4" w:space="0" w:color="32FF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2-Accent5">
    <w:name w:val="List Table 2 Accent 5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A666"/>
        <w:bottom w:val="single" w:sz="4" w:space="0" w:color="FFA666"/>
        <w:insideH w:val="single" w:sz="4" w:space="0" w:color="FFA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2-Accent6">
    <w:name w:val="List Table 2 Accent 6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BC89C9"/>
        <w:bottom w:val="single" w:sz="4" w:space="0" w:color="BC89C9"/>
        <w:insideH w:val="single" w:sz="4" w:space="0" w:color="BC8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3">
    <w:name w:val="List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</w:tblPr>
    <w:tblStylePr w:type="firstRow">
      <w:rPr>
        <w:b/>
        <w:bCs/>
        <w:color w:val="FFFFFF"/>
      </w:rPr>
      <w:tblPr/>
      <w:tcPr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0050"/>
          <w:right w:val="single" w:sz="4" w:space="0" w:color="8A0050"/>
        </w:tcBorders>
      </w:tcPr>
    </w:tblStylePr>
    <w:tblStylePr w:type="band1Horz">
      <w:tblPr/>
      <w:tcPr>
        <w:tcBorders>
          <w:top w:val="single" w:sz="4" w:space="0" w:color="8A0050"/>
          <w:bottom w:val="single" w:sz="4" w:space="0" w:color="8A0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/>
          <w:left w:val="nil"/>
        </w:tcBorders>
      </w:tcPr>
    </w:tblStylePr>
    <w:tblStylePr w:type="swCell">
      <w:tblPr/>
      <w:tcPr>
        <w:tcBorders>
          <w:top w:val="double" w:sz="4" w:space="0" w:color="8A005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</w:tblPr>
    <w:tblStylePr w:type="firstRow">
      <w:rPr>
        <w:b/>
        <w:bCs/>
        <w:color w:val="FFFFFF"/>
      </w:rPr>
      <w:tblPr/>
      <w:tcPr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AAB6"/>
          <w:right w:val="single" w:sz="4" w:space="0" w:color="9EAAB6"/>
        </w:tcBorders>
      </w:tcPr>
    </w:tblStylePr>
    <w:tblStylePr w:type="band1Horz">
      <w:tblPr/>
      <w:tcPr>
        <w:tcBorders>
          <w:top w:val="single" w:sz="4" w:space="0" w:color="9EAAB6"/>
          <w:bottom w:val="single" w:sz="4" w:space="0" w:color="9EAA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/>
          <w:left w:val="nil"/>
        </w:tcBorders>
      </w:tcPr>
    </w:tblStylePr>
    <w:tblStylePr w:type="swCell">
      <w:tblPr/>
      <w:tcPr>
        <w:tcBorders>
          <w:top w:val="double" w:sz="4" w:space="0" w:color="9EAAB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96CE"/>
        <w:left w:val="single" w:sz="4" w:space="0" w:color="0096CE"/>
        <w:bottom w:val="single" w:sz="4" w:space="0" w:color="0096CE"/>
        <w:right w:val="single" w:sz="4" w:space="0" w:color="0096CE"/>
      </w:tblBorders>
    </w:tblPr>
    <w:tblStylePr w:type="firstRow">
      <w:rPr>
        <w:b/>
        <w:bCs/>
        <w:color w:val="FFFFFF"/>
      </w:rPr>
      <w:tblPr/>
      <w:tcPr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CE"/>
          <w:right w:val="single" w:sz="4" w:space="0" w:color="0096CE"/>
        </w:tcBorders>
      </w:tcPr>
    </w:tblStylePr>
    <w:tblStylePr w:type="band1Horz">
      <w:tblPr/>
      <w:tcPr>
        <w:tcBorders>
          <w:top w:val="single" w:sz="4" w:space="0" w:color="0096CE"/>
          <w:bottom w:val="single" w:sz="4" w:space="0" w:color="0096C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/>
          <w:left w:val="nil"/>
        </w:tcBorders>
      </w:tcPr>
    </w:tblStylePr>
    <w:tblStylePr w:type="swCell">
      <w:tblPr/>
      <w:tcPr>
        <w:tcBorders>
          <w:top w:val="double" w:sz="4" w:space="0" w:color="0096CE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A997"/>
        <w:left w:val="single" w:sz="4" w:space="0" w:color="00A997"/>
        <w:bottom w:val="single" w:sz="4" w:space="0" w:color="00A997"/>
        <w:right w:val="single" w:sz="4" w:space="0" w:color="00A997"/>
      </w:tblBorders>
    </w:tblPr>
    <w:tblStylePr w:type="firstRow">
      <w:rPr>
        <w:b/>
        <w:bCs/>
        <w:color w:val="FFFFFF"/>
      </w:rPr>
      <w:tblPr/>
      <w:tcPr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A997"/>
          <w:right w:val="single" w:sz="4" w:space="0" w:color="00A997"/>
        </w:tcBorders>
      </w:tcPr>
    </w:tblStylePr>
    <w:tblStylePr w:type="band1Horz">
      <w:tblPr/>
      <w:tcPr>
        <w:tcBorders>
          <w:top w:val="single" w:sz="4" w:space="0" w:color="00A997"/>
          <w:bottom w:val="single" w:sz="4" w:space="0" w:color="00A99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/>
          <w:left w:val="nil"/>
        </w:tcBorders>
      </w:tcPr>
    </w:tblStylePr>
    <w:tblStylePr w:type="swCell">
      <w:tblPr/>
      <w:tcPr>
        <w:tcBorders>
          <w:top w:val="double" w:sz="4" w:space="0" w:color="00A997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6C00"/>
        <w:left w:val="single" w:sz="4" w:space="0" w:color="FF6C00"/>
        <w:bottom w:val="single" w:sz="4" w:space="0" w:color="FF6C00"/>
        <w:right w:val="single" w:sz="4" w:space="0" w:color="FF6C00"/>
      </w:tblBorders>
    </w:tblPr>
    <w:tblStylePr w:type="firstRow">
      <w:rPr>
        <w:b/>
        <w:bCs/>
        <w:color w:val="FFFFFF"/>
      </w:rPr>
      <w:tblPr/>
      <w:tcPr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6C00"/>
          <w:right w:val="single" w:sz="4" w:space="0" w:color="FF6C00"/>
        </w:tcBorders>
      </w:tcPr>
    </w:tblStylePr>
    <w:tblStylePr w:type="band1Horz">
      <w:tblPr/>
      <w:tcPr>
        <w:tcBorders>
          <w:top w:val="single" w:sz="4" w:space="0" w:color="FF6C00"/>
          <w:bottom w:val="single" w:sz="4" w:space="0" w:color="FF6C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/>
          <w:left w:val="nil"/>
        </w:tcBorders>
      </w:tcPr>
    </w:tblStylePr>
    <w:tblStylePr w:type="swCell">
      <w:tblPr/>
      <w:tcPr>
        <w:tcBorders>
          <w:top w:val="double" w:sz="4" w:space="0" w:color="FF6C0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</w:tblPr>
    <w:tblStylePr w:type="firstRow">
      <w:rPr>
        <w:b/>
        <w:bCs/>
        <w:color w:val="FFFFFF"/>
      </w:rPr>
      <w:tblPr/>
      <w:tcPr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479B"/>
          <w:right w:val="single" w:sz="4" w:space="0" w:color="8A479B"/>
        </w:tcBorders>
      </w:tcPr>
    </w:tblStylePr>
    <w:tblStylePr w:type="band1Horz">
      <w:tblPr/>
      <w:tcPr>
        <w:tcBorders>
          <w:top w:val="single" w:sz="4" w:space="0" w:color="8A479B"/>
          <w:bottom w:val="single" w:sz="4" w:space="0" w:color="8A479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/>
          <w:left w:val="nil"/>
        </w:tcBorders>
      </w:tcPr>
    </w:tblStylePr>
    <w:tblStylePr w:type="swCell">
      <w:tblPr/>
      <w:tcPr>
        <w:tcBorders>
          <w:top w:val="double" w:sz="4" w:space="0" w:color="8A479B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4-Accent2">
    <w:name w:val="List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4-Accent3">
    <w:name w:val="List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4-Accent4">
    <w:name w:val="List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4-Accent5">
    <w:name w:val="List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4-Accent6">
    <w:name w:val="List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5Dark">
    <w:name w:val="List Table 5 Dark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</w:tblPr>
    <w:tcPr>
      <w:shd w:val="clear" w:color="auto" w:fill="8A0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</w:tblPr>
    <w:tcPr>
      <w:shd w:val="clear" w:color="auto" w:fill="9EAAB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96CE"/>
        <w:left w:val="single" w:sz="24" w:space="0" w:color="0096CE"/>
        <w:bottom w:val="single" w:sz="24" w:space="0" w:color="0096CE"/>
        <w:right w:val="single" w:sz="24" w:space="0" w:color="0096CE"/>
      </w:tblBorders>
    </w:tblPr>
    <w:tcPr>
      <w:shd w:val="clear" w:color="auto" w:fill="0096C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A997"/>
        <w:left w:val="single" w:sz="24" w:space="0" w:color="00A997"/>
        <w:bottom w:val="single" w:sz="24" w:space="0" w:color="00A997"/>
        <w:right w:val="single" w:sz="24" w:space="0" w:color="00A997"/>
      </w:tblBorders>
    </w:tblPr>
    <w:tcPr>
      <w:shd w:val="clear" w:color="auto" w:fill="00A99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FF6C00"/>
        <w:left w:val="single" w:sz="24" w:space="0" w:color="FF6C00"/>
        <w:bottom w:val="single" w:sz="24" w:space="0" w:color="FF6C00"/>
        <w:right w:val="single" w:sz="24" w:space="0" w:color="FF6C00"/>
      </w:tblBorders>
    </w:tblPr>
    <w:tcPr>
      <w:shd w:val="clear" w:color="auto" w:fill="FF6C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</w:tblPr>
    <w:tcPr>
      <w:shd w:val="clear" w:color="auto" w:fill="8A479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8A0050"/>
        <w:bottom w:val="single" w:sz="4" w:space="0" w:color="8A0050"/>
      </w:tblBorders>
    </w:tblPr>
    <w:tblStylePr w:type="firstRow">
      <w:rPr>
        <w:b/>
        <w:bCs/>
      </w:rPr>
      <w:tblPr/>
      <w:tcPr>
        <w:tcBorders>
          <w:bottom w:val="single" w:sz="4" w:space="0" w:color="8A0050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6Colorful-Accent2">
    <w:name w:val="List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9EAAB6"/>
        <w:bottom w:val="single" w:sz="4" w:space="0" w:color="9EAAB6"/>
      </w:tblBorders>
    </w:tblPr>
    <w:tblStylePr w:type="firstRow">
      <w:rPr>
        <w:b/>
        <w:bCs/>
      </w:rPr>
      <w:tblPr/>
      <w:tcPr>
        <w:tcBorders>
          <w:bottom w:val="single" w:sz="4" w:space="0" w:color="9EAAB6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6Colorful-Accent3">
    <w:name w:val="List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0096CE"/>
        <w:bottom w:val="single" w:sz="4" w:space="0" w:color="0096CE"/>
      </w:tblBorders>
    </w:tblPr>
    <w:tblStylePr w:type="firstRow">
      <w:rPr>
        <w:b/>
        <w:bCs/>
      </w:rPr>
      <w:tblPr/>
      <w:tcPr>
        <w:tcBorders>
          <w:bottom w:val="single" w:sz="4" w:space="0" w:color="0096CE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6Colorful-Accent4">
    <w:name w:val="List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00A997"/>
        <w:bottom w:val="single" w:sz="4" w:space="0" w:color="00A997"/>
      </w:tblBorders>
    </w:tblPr>
    <w:tblStylePr w:type="firstRow">
      <w:rPr>
        <w:b/>
        <w:bCs/>
      </w:rPr>
      <w:tblPr/>
      <w:tcPr>
        <w:tcBorders>
          <w:bottom w:val="single" w:sz="4" w:space="0" w:color="00A997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6Colorful-Accent5">
    <w:name w:val="List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6C00"/>
        <w:bottom w:val="single" w:sz="4" w:space="0" w:color="FF6C00"/>
      </w:tblBorders>
    </w:tblPr>
    <w:tblStylePr w:type="firstRow">
      <w:rPr>
        <w:b/>
        <w:bCs/>
      </w:rPr>
      <w:tblPr/>
      <w:tcPr>
        <w:tcBorders>
          <w:bottom w:val="single" w:sz="4" w:space="0" w:color="FF6C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6Colorful-Accent6">
    <w:name w:val="List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8A479B"/>
        <w:bottom w:val="single" w:sz="4" w:space="0" w:color="8A479B"/>
      </w:tblBorders>
    </w:tblPr>
    <w:tblStylePr w:type="firstRow">
      <w:rPr>
        <w:b/>
        <w:bCs/>
      </w:rPr>
      <w:tblPr/>
      <w:tcPr>
        <w:tcBorders>
          <w:bottom w:val="single" w:sz="4" w:space="0" w:color="8A479B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7Colorful">
    <w:name w:val="List Table 7 Colorful"/>
    <w:basedOn w:val="TableNormal"/>
    <w:uiPriority w:val="52"/>
    <w:rsid w:val="00502510"/>
    <w:rPr>
      <w:color w:val="000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005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005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005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0050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9EAAB6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9EAAB6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9EAAB6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9EAAB6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96CE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96CE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96CE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96CE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A997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A997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A997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A997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FF6C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FF6C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FF6C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FF6C00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479B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479B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479B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479B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color w:val="414042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  <w:insideV w:val="single" w:sz="8" w:space="0" w:color="1BC0FF"/>
      </w:tblBorders>
    </w:tblPr>
    <w:tcPr>
      <w:shd w:val="clear" w:color="auto" w:fill="B3EA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  <w:insideV w:val="single" w:sz="8" w:space="0" w:color="00FEE2"/>
      </w:tblBorders>
    </w:tblPr>
    <w:tcPr>
      <w:shd w:val="clear" w:color="auto" w:fill="AAFF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  <w:insideV w:val="single" w:sz="8" w:space="0" w:color="FF9040"/>
      </w:tblBorders>
    </w:tblPr>
    <w:tcPr>
      <w:shd w:val="clear" w:color="auto" w:fill="FFDA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b/>
        <w:bCs/>
        <w:color w:val="000000"/>
      </w:rPr>
      <w:tblPr/>
      <w:tcPr>
        <w:shd w:val="clear" w:color="auto" w:fill="FFDA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b/>
        <w:bCs/>
        <w:color w:val="000000"/>
      </w:rPr>
      <w:tblPr/>
      <w:tcPr>
        <w:shd w:val="clear" w:color="auto" w:fill="F5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cPr>
      <w:shd w:val="clear" w:color="auto" w:fill="B3EAFF"/>
    </w:tcPr>
    <w:tblStylePr w:type="firstRow">
      <w:rPr>
        <w:b/>
        <w:bCs/>
        <w:color w:val="000000"/>
      </w:rPr>
      <w:tblPr/>
      <w:tcPr>
        <w:shd w:val="clear" w:color="auto" w:fill="E1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tcBorders>
          <w:insideH w:val="single" w:sz="6" w:space="0" w:color="0096CE"/>
          <w:insideV w:val="single" w:sz="6" w:space="0" w:color="0096CE"/>
        </w:tcBorders>
        <w:shd w:val="clear" w:color="auto" w:fill="67D5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cPr>
      <w:shd w:val="clear" w:color="auto" w:fill="AAFFF5"/>
    </w:tcPr>
    <w:tblStylePr w:type="firstRow">
      <w:rPr>
        <w:b/>
        <w:bCs/>
        <w:color w:val="000000"/>
      </w:rPr>
      <w:tblPr/>
      <w:tcPr>
        <w:shd w:val="clear" w:color="auto" w:fill="DDFF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tcBorders>
          <w:insideH w:val="single" w:sz="6" w:space="0" w:color="00A997"/>
          <w:insideV w:val="single" w:sz="6" w:space="0" w:color="00A997"/>
        </w:tcBorders>
        <w:shd w:val="clear" w:color="auto" w:fill="55FFEC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cPr>
      <w:shd w:val="clear" w:color="auto" w:fill="FFDA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tcBorders>
          <w:insideH w:val="single" w:sz="6" w:space="0" w:color="FF6C00"/>
          <w:insideV w:val="single" w:sz="6" w:space="0" w:color="FF6C00"/>
        </w:tcBorders>
        <w:shd w:val="clear" w:color="auto" w:fill="FFB58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b/>
        <w:bCs/>
        <w:color w:val="000000"/>
      </w:rPr>
      <w:tblPr/>
      <w:tcPr>
        <w:shd w:val="clear" w:color="auto" w:fill="F4EB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EA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D5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D5F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AFF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FF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FFEC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DA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5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58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tblPr/>
      <w:tcPr>
        <w:shd w:val="clear" w:color="auto" w:fill="FFA3D8"/>
      </w:tcPr>
    </w:tblStylePr>
    <w:tblStylePr w:type="band1Horz">
      <w:tblPr/>
      <w:tcPr>
        <w:shd w:val="clear" w:color="auto" w:fill="FFA3D8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tblPr/>
      <w:tcPr>
        <w:shd w:val="clear" w:color="auto" w:fill="E7E9ED"/>
      </w:tcPr>
    </w:tblStylePr>
    <w:tblStylePr w:type="band1Horz">
      <w:tblPr/>
      <w:tcPr>
        <w:shd w:val="clear" w:color="auto" w:fill="E7E9ED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96CE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band1Vert">
      <w:tblPr/>
      <w:tcPr>
        <w:shd w:val="clear" w:color="auto" w:fill="B3EAFF"/>
      </w:tcPr>
    </w:tblStylePr>
    <w:tblStylePr w:type="band1Horz">
      <w:tblPr/>
      <w:tcPr>
        <w:shd w:val="clear" w:color="auto" w:fill="B3EAF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A997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band1Vert">
      <w:tblPr/>
      <w:tcPr>
        <w:shd w:val="clear" w:color="auto" w:fill="AAFFF5"/>
      </w:tcPr>
    </w:tblStylePr>
    <w:tblStylePr w:type="band1Horz">
      <w:tblPr/>
      <w:tcPr>
        <w:shd w:val="clear" w:color="auto" w:fill="AAFFF5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F6C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band1Vert">
      <w:tblPr/>
      <w:tcPr>
        <w:shd w:val="clear" w:color="auto" w:fill="FFDAC0"/>
      </w:tcPr>
    </w:tblStylePr>
    <w:tblStylePr w:type="band1Horz">
      <w:tblPr/>
      <w:tcPr>
        <w:shd w:val="clear" w:color="auto" w:fill="FFDAC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tblPr/>
      <w:tcPr>
        <w:shd w:val="clear" w:color="auto" w:fill="E3CEE9"/>
      </w:tcPr>
    </w:tblStylePr>
    <w:tblStylePr w:type="band1Horz"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C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A9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C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eorgia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02510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rPr>
      <w:color w:val="414042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0251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502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502510"/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502510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semiHidden/>
    <w:rsid w:val="00502510"/>
    <w:rPr>
      <w:color w:val="5A5A5A"/>
      <w:spacing w:val="15"/>
    </w:rPr>
  </w:style>
  <w:style w:type="character" w:styleId="SubtleEmphasis">
    <w:name w:val="Subtle Emphasis"/>
    <w:uiPriority w:val="19"/>
    <w:semiHidden/>
    <w:unhideWhenUsed/>
    <w:qFormat/>
    <w:rsid w:val="00502510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502510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5025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="Georgia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after="0"/>
      <w:outlineLvl w:val="9"/>
    </w:pPr>
    <w:rPr>
      <w:color w:val="67003B"/>
      <w:szCs w:val="32"/>
    </w:rPr>
  </w:style>
  <w:style w:type="paragraph" w:customStyle="1" w:styleId="TableParagraph">
    <w:name w:val="Table Paragraph"/>
    <w:basedOn w:val="Normal"/>
    <w:uiPriority w:val="1"/>
    <w:qFormat/>
    <w:rsid w:val="00871F5D"/>
    <w:pPr>
      <w:widowControl w:val="0"/>
      <w:autoSpaceDE w:val="0"/>
      <w:autoSpaceDN w:val="0"/>
      <w:spacing w:before="0" w:after="0" w:line="206" w:lineRule="exact"/>
      <w:ind w:left="107"/>
    </w:pPr>
    <w:rPr>
      <w:rFonts w:eastAsia="Arial" w:cs="Arial"/>
      <w:lang w:val="en-AU" w:eastAsia="en-AU" w:bidi="en-AU"/>
    </w:rPr>
  </w:style>
  <w:style w:type="character" w:customStyle="1" w:styleId="PP1cTextChar">
    <w:name w:val="PP1c Text Char"/>
    <w:basedOn w:val="DefaultParagraphFont"/>
    <w:link w:val="PP1cText"/>
    <w:locked/>
    <w:rsid w:val="004F6BD0"/>
    <w:rPr>
      <w:rFonts w:ascii="Arial" w:hAnsi="Arial" w:cs="Arial"/>
      <w:color w:val="000000"/>
      <w:sz w:val="24"/>
      <w:szCs w:val="24"/>
    </w:rPr>
  </w:style>
  <w:style w:type="paragraph" w:customStyle="1" w:styleId="PP1cText">
    <w:name w:val="PP1c Text"/>
    <w:basedOn w:val="Normal"/>
    <w:link w:val="PP1cTextChar"/>
    <w:qFormat/>
    <w:rsid w:val="004F6BD0"/>
    <w:pPr>
      <w:spacing w:before="0" w:line="240" w:lineRule="auto"/>
      <w:ind w:left="425"/>
    </w:pPr>
    <w:rPr>
      <w:rFonts w:cs="Arial"/>
      <w:color w:val="000000"/>
      <w:sz w:val="24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337B"/>
    <w:rPr>
      <w:rFonts w:ascii="Arial" w:hAnsi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rsch.gov.au/publications/nrsch-operational-guidelines/evidence-guide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usingregistrar.vic.gov.au/files/assets/public/publications/performance-standards-and-evidence-guidelines/current-performance-standard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ustlii.edu.au/cgi-bin/viewdoc/au/legis/vic/consol_act/rta199720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a.atger\OneDrive%20-%20YWCA%20Australia\New%20Policies%20and%20Procedures\Still%20To%20Do\M0xx%20Policy%20Template%202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C1535DE3BB9468BBC683E02D8E09E" ma:contentTypeVersion="13" ma:contentTypeDescription="Create a new document." ma:contentTypeScope="" ma:versionID="0bc9868c1381202f49e9e988d64f7755">
  <xsd:schema xmlns:xsd="http://www.w3.org/2001/XMLSchema" xmlns:xs="http://www.w3.org/2001/XMLSchema" xmlns:p="http://schemas.microsoft.com/office/2006/metadata/properties" xmlns:ns3="d243c6c8-1a81-4c32-9e52-50568e9835a1" xmlns:ns4="a926c839-1437-455e-937e-0c0570f085ae" targetNamespace="http://schemas.microsoft.com/office/2006/metadata/properties" ma:root="true" ma:fieldsID="d049f6207c79c613817a4f399d0fa4a5" ns3:_="" ns4:_="">
    <xsd:import namespace="d243c6c8-1a81-4c32-9e52-50568e9835a1"/>
    <xsd:import namespace="a926c839-1437-455e-937e-0c0570f08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c6c8-1a81-4c32-9e52-50568e983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c839-1437-455e-937e-0c0570f08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2903D-F72E-4E5A-BC64-90850394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c6c8-1a81-4c32-9e52-50568e9835a1"/>
    <ds:schemaRef ds:uri="a926c839-1437-455e-937e-0c0570f08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56A7C-A8C8-4A98-8316-E774C07B0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M0xx Policy Template 2 logos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Atger</dc:creator>
  <cp:keywords/>
  <dc:description/>
  <cp:lastModifiedBy>Jo Harrison</cp:lastModifiedBy>
  <cp:revision>4</cp:revision>
  <dcterms:created xsi:type="dcterms:W3CDTF">2021-08-18T22:07:00Z</dcterms:created>
  <dcterms:modified xsi:type="dcterms:W3CDTF">2021-08-18T22:08:00Z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0x010100AD7C1535DE3BB9468BBC683E02D8E09E</vt:lpwstr>
  </property>
  <property fmtid="{D5CDD505-2E9C-101B-9397-08002B2CF9AE}" pid="3" name="Order">
    <vt:r8>2405600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/>
  </property>
</Properties>
</file>